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firstLine="562"/>
        <w:jc w:val="center"/>
        <w:rPr>
          <w:rFonts w:hint="eastAsia" w:ascii="黑体" w:hAnsi="黑体" w:eastAsia="黑体" w:cs="黑体"/>
          <w:szCs w:val="28"/>
        </w:rPr>
      </w:pPr>
      <w:r>
        <w:rPr>
          <w:rFonts w:hint="eastAsia" w:ascii="黑体" w:hAnsi="黑体" w:eastAsia="黑体" w:cs="黑体"/>
          <w:szCs w:val="28"/>
        </w:rPr>
        <w:t>2023年江苏省职业院校技能大赛中职赛项规程</w:t>
      </w:r>
    </w:p>
    <w:p/>
    <w:p>
      <w:pPr>
        <w:pStyle w:val="3"/>
        <w:ind w:firstLine="482"/>
        <w:rPr>
          <w:rFonts w:ascii="仿宋" w:hAnsi="仿宋" w:eastAsia="仿宋" w:cs="仿宋"/>
          <w:sz w:val="24"/>
          <w:szCs w:val="24"/>
        </w:rPr>
      </w:pPr>
      <w:r>
        <w:rPr>
          <w:rFonts w:hint="eastAsia" w:ascii="仿宋" w:hAnsi="仿宋" w:eastAsia="仿宋" w:cs="仿宋"/>
          <w:sz w:val="24"/>
          <w:szCs w:val="24"/>
        </w:rPr>
        <w:t>一、赛项名称</w:t>
      </w:r>
    </w:p>
    <w:p>
      <w:pPr>
        <w:ind w:firstLine="480"/>
        <w:rPr>
          <w:rFonts w:ascii="仿宋" w:hAnsi="仿宋" w:cs="仿宋"/>
          <w:szCs w:val="24"/>
        </w:rPr>
      </w:pPr>
      <w:r>
        <w:rPr>
          <w:rFonts w:hint="eastAsia" w:ascii="仿宋" w:hAnsi="仿宋" w:cs="仿宋"/>
          <w:szCs w:val="24"/>
        </w:rPr>
        <w:t>赛项编号：</w:t>
      </w:r>
      <w:r>
        <w:rPr>
          <w:rFonts w:ascii="仿宋" w:hAnsi="仿宋" w:cs="仿宋"/>
          <w:szCs w:val="24"/>
        </w:rPr>
        <w:t>JSZ202334</w:t>
      </w:r>
    </w:p>
    <w:p>
      <w:pPr>
        <w:ind w:firstLine="480"/>
        <w:rPr>
          <w:rFonts w:ascii="仿宋" w:hAnsi="仿宋" w:cs="仿宋"/>
          <w:szCs w:val="24"/>
        </w:rPr>
      </w:pPr>
      <w:r>
        <w:rPr>
          <w:rFonts w:hint="eastAsia" w:ascii="仿宋" w:hAnsi="仿宋" w:cs="仿宋"/>
          <w:szCs w:val="24"/>
        </w:rPr>
        <w:t>赛项名称：物联网技术应用与维护</w:t>
      </w:r>
    </w:p>
    <w:p>
      <w:pPr>
        <w:ind w:firstLine="480"/>
        <w:rPr>
          <w:rFonts w:ascii="仿宋" w:hAnsi="仿宋" w:cs="仿宋"/>
          <w:color w:val="000000" w:themeColor="text1"/>
          <w:szCs w:val="24"/>
          <w14:textFill>
            <w14:solidFill>
              <w14:schemeClr w14:val="tx1"/>
            </w14:solidFill>
          </w14:textFill>
        </w:rPr>
      </w:pPr>
      <w:r>
        <w:rPr>
          <w:rFonts w:hint="eastAsia" w:ascii="仿宋" w:hAnsi="仿宋" w:cs="仿宋"/>
          <w:szCs w:val="24"/>
        </w:rPr>
        <w:t>赛项组别：</w:t>
      </w:r>
      <w:r>
        <w:rPr>
          <w:rFonts w:hint="eastAsia" w:ascii="仿宋" w:hAnsi="仿宋" w:cs="仿宋"/>
          <w:color w:val="000000" w:themeColor="text1"/>
          <w:szCs w:val="24"/>
          <w14:textFill>
            <w14:solidFill>
              <w14:schemeClr w14:val="tx1"/>
            </w14:solidFill>
          </w14:textFill>
        </w:rPr>
        <w:t>学生组、教师组</w:t>
      </w:r>
    </w:p>
    <w:p>
      <w:pPr>
        <w:ind w:firstLine="480"/>
        <w:rPr>
          <w:rFonts w:ascii="仿宋" w:hAnsi="仿宋" w:cs="仿宋"/>
          <w:szCs w:val="24"/>
        </w:rPr>
      </w:pPr>
      <w:r>
        <w:rPr>
          <w:rFonts w:hint="eastAsia" w:ascii="仿宋" w:hAnsi="仿宋" w:cs="仿宋"/>
          <w:szCs w:val="24"/>
        </w:rPr>
        <w:t>赛项归属专业大类：信息技术类</w:t>
      </w:r>
    </w:p>
    <w:p>
      <w:pPr>
        <w:numPr>
          <w:ilvl w:val="0"/>
          <w:numId w:val="1"/>
        </w:numPr>
        <w:ind w:firstLine="482"/>
        <w:rPr>
          <w:rFonts w:ascii="仿宋" w:hAnsi="仿宋" w:cs="仿宋"/>
          <w:b/>
          <w:color w:val="FF0000"/>
          <w:szCs w:val="24"/>
        </w:rPr>
      </w:pPr>
      <w:r>
        <w:rPr>
          <w:rFonts w:hint="eastAsia" w:ascii="仿宋" w:hAnsi="仿宋" w:cs="仿宋"/>
          <w:b/>
          <w:szCs w:val="24"/>
        </w:rPr>
        <w:t>竞赛目的</w:t>
      </w:r>
    </w:p>
    <w:p>
      <w:pPr>
        <w:ind w:firstLine="481" w:firstLineChars="0"/>
        <w:rPr>
          <w:rFonts w:ascii="仿宋" w:hAnsi="仿宋" w:cs="仿宋"/>
          <w:bCs/>
          <w:szCs w:val="24"/>
        </w:rPr>
      </w:pPr>
      <w:r>
        <w:rPr>
          <w:rFonts w:hint="eastAsia" w:ascii="仿宋" w:hAnsi="仿宋" w:cs="仿宋"/>
          <w:bCs/>
          <w:szCs w:val="24"/>
        </w:rPr>
        <w:t>贯彻落实《国家职业教育改革实施方案》《关于推动现代职业教育高质量发展的意见》、全国职业教育大会精神和国家新职业教育法，进一步强化职业院校物联网技术应用相关专业学生职业技能训练和职业能力的综合运用，促进校企合作、产教融合，完善“岗课赛证”教学模式，培育工匠精神，推动职业院校“双师型”师资队伍建设，大力培养适应我省经济与社会发展的能从事物联网设备安装配置和调试、物联网系统运行管理与维护、物联网系统应用开发、物联网项目规划和管理的物联网技术技能型人才，为建设“强、富、美、高”新江苏和建成技能型社会提供人才和技能支撑。</w:t>
      </w:r>
    </w:p>
    <w:p>
      <w:pPr>
        <w:numPr>
          <w:ilvl w:val="0"/>
          <w:numId w:val="1"/>
        </w:numPr>
        <w:ind w:firstLine="482"/>
        <w:rPr>
          <w:rFonts w:ascii="仿宋" w:hAnsi="仿宋" w:cs="仿宋"/>
          <w:b/>
          <w:color w:val="FF0000"/>
          <w:szCs w:val="24"/>
        </w:rPr>
      </w:pPr>
      <w:r>
        <w:rPr>
          <w:rFonts w:hint="eastAsia" w:ascii="仿宋" w:hAnsi="仿宋" w:cs="仿宋"/>
          <w:b/>
          <w:szCs w:val="24"/>
        </w:rPr>
        <w:t>竞赛内容</w:t>
      </w:r>
    </w:p>
    <w:p>
      <w:pPr>
        <w:ind w:left="480" w:leftChars="200" w:firstLine="0" w:firstLineChars="0"/>
        <w:rPr>
          <w:rFonts w:ascii="仿宋" w:hAnsi="仿宋" w:cs="仿宋"/>
          <w:b/>
          <w:szCs w:val="24"/>
        </w:rPr>
      </w:pPr>
      <w:r>
        <w:rPr>
          <w:rFonts w:hint="eastAsia" w:ascii="仿宋" w:hAnsi="仿宋" w:cs="仿宋"/>
          <w:b/>
          <w:szCs w:val="24"/>
        </w:rPr>
        <w:t>（一）学生组竞赛内容</w:t>
      </w:r>
    </w:p>
    <w:p>
      <w:pPr>
        <w:ind w:left="480" w:leftChars="200" w:firstLine="0" w:firstLineChars="0"/>
        <w:rPr>
          <w:rFonts w:ascii="仿宋" w:hAnsi="仿宋" w:cs="仿宋"/>
          <w:bCs/>
          <w:szCs w:val="24"/>
        </w:rPr>
      </w:pPr>
      <w:r>
        <w:rPr>
          <w:rFonts w:hint="eastAsia" w:ascii="仿宋" w:hAnsi="仿宋" w:cs="仿宋"/>
          <w:bCs/>
          <w:szCs w:val="24"/>
        </w:rPr>
        <w:t>本赛项竞赛主要考核选手理论知识、实操技能和职业素养。其中：</w:t>
      </w:r>
    </w:p>
    <w:p>
      <w:pPr>
        <w:ind w:firstLine="480"/>
        <w:rPr>
          <w:rFonts w:ascii="仿宋" w:hAnsi="仿宋" w:cs="仿宋"/>
          <w:bCs/>
          <w:szCs w:val="24"/>
        </w:rPr>
      </w:pPr>
      <w:r>
        <w:rPr>
          <w:rFonts w:hint="eastAsia" w:ascii="仿宋" w:hAnsi="仿宋" w:cs="仿宋"/>
          <w:bCs/>
          <w:szCs w:val="24"/>
        </w:rPr>
        <w:t>1.理论知识考核占比</w:t>
      </w:r>
      <w:r>
        <w:rPr>
          <w:rFonts w:ascii="仿宋" w:hAnsi="仿宋" w:cs="仿宋"/>
          <w:bCs/>
          <w:szCs w:val="24"/>
        </w:rPr>
        <w:t>10</w:t>
      </w:r>
      <w:r>
        <w:rPr>
          <w:rFonts w:hint="eastAsia" w:ascii="仿宋" w:hAnsi="仿宋" w:cs="仿宋"/>
          <w:bCs/>
          <w:szCs w:val="24"/>
        </w:rPr>
        <w:t>%，考核内容主要包含：</w:t>
      </w:r>
      <w:bookmarkStart w:id="0" w:name="_Hlk114319660"/>
      <w:r>
        <w:rPr>
          <w:rFonts w:hint="eastAsia" w:ascii="仿宋" w:hAnsi="仿宋" w:cs="仿宋"/>
          <w:bCs/>
          <w:szCs w:val="24"/>
        </w:rPr>
        <w:t>物联网相关基础理论知识以及典型物联网应用系统核心技术相关理论知识。主要包括：物联网原理、RFID、传感器、智能传感器与无线传感网技术、物联网智能设备与嵌入技术、计算机网络、移动通信技术、物联网定位技术、物联网数据处理、数据库技术、物联网应用开发技术等</w:t>
      </w:r>
      <w:bookmarkEnd w:id="0"/>
      <w:r>
        <w:rPr>
          <w:rFonts w:hint="eastAsia" w:ascii="仿宋" w:hAnsi="仿宋" w:cs="仿宋"/>
          <w:bCs/>
          <w:szCs w:val="24"/>
        </w:rPr>
        <w:t>。理论知识考核满分为100分，占竞赛总成绩90%。</w:t>
      </w:r>
    </w:p>
    <w:p>
      <w:pPr>
        <w:ind w:firstLine="480"/>
        <w:rPr>
          <w:rFonts w:ascii="仿宋" w:hAnsi="仿宋" w:cs="仿宋"/>
          <w:bCs/>
          <w:szCs w:val="24"/>
        </w:rPr>
      </w:pPr>
      <w:r>
        <w:rPr>
          <w:rFonts w:hint="eastAsia" w:ascii="仿宋" w:hAnsi="仿宋" w:cs="仿宋"/>
          <w:bCs/>
          <w:szCs w:val="24"/>
        </w:rPr>
        <w:t>2.实操技能考核占比</w:t>
      </w:r>
      <w:r>
        <w:rPr>
          <w:rFonts w:ascii="仿宋" w:hAnsi="仿宋" w:cs="仿宋"/>
          <w:bCs/>
          <w:szCs w:val="24"/>
        </w:rPr>
        <w:t>90</w:t>
      </w:r>
      <w:r>
        <w:rPr>
          <w:rFonts w:hint="eastAsia" w:ascii="仿宋" w:hAnsi="仿宋" w:cs="仿宋"/>
          <w:bCs/>
          <w:szCs w:val="24"/>
        </w:rPr>
        <w:t>%，考核内容主要包含：根据物联网项目需求，利用专业工具安装调试硬件设备，建立并管理物联网工程的网络环境，部署安装软件系统，配置物联网平台，辅助开发、调试和维护物联网应用。要求选手在规定时间内，根据物联网应用场景要求完成竞赛任务，通过对物联网系统相关硬件设备及软件系统的操作，构建真实的物联网工作场景。职业素养在实操中进行考核，考核内容主要包含选手在实操过程中的操作、安全、生产、清洁、整理等方面的职业素养。实操技能考核满分为100分，占竞赛总成绩90%。</w:t>
      </w:r>
    </w:p>
    <w:p>
      <w:pPr>
        <w:pStyle w:val="4"/>
        <w:kinsoku w:val="0"/>
        <w:overflowPunct w:val="0"/>
        <w:ind w:left="779"/>
        <w:rPr>
          <w:sz w:val="24"/>
          <w:szCs w:val="24"/>
        </w:rPr>
      </w:pPr>
      <w:r>
        <w:rPr>
          <w:rFonts w:hint="eastAsia"/>
          <w:sz w:val="24"/>
          <w:szCs w:val="24"/>
        </w:rPr>
        <w:t>具体包括以下内容。</w:t>
      </w:r>
    </w:p>
    <w:tbl>
      <w:tblPr>
        <w:tblStyle w:val="7"/>
        <w:tblW w:w="7223" w:type="dxa"/>
        <w:jc w:val="center"/>
        <w:tblLayout w:type="fixed"/>
        <w:tblCellMar>
          <w:top w:w="0" w:type="dxa"/>
          <w:left w:w="0" w:type="dxa"/>
          <w:bottom w:w="0" w:type="dxa"/>
          <w:right w:w="0" w:type="dxa"/>
        </w:tblCellMar>
      </w:tblPr>
      <w:tblGrid>
        <w:gridCol w:w="1134"/>
        <w:gridCol w:w="2976"/>
        <w:gridCol w:w="1947"/>
        <w:gridCol w:w="1166"/>
      </w:tblGrid>
      <w:tr>
        <w:trPr>
          <w:trHeight w:val="436" w:hRule="exact"/>
          <w:jc w:val="center"/>
        </w:trPr>
        <w:tc>
          <w:tcPr>
            <w:tcW w:w="1134" w:type="dxa"/>
            <w:tcBorders>
              <w:top w:val="single" w:color="000000" w:sz="4" w:space="0"/>
              <w:left w:val="single" w:color="000000" w:sz="4" w:space="0"/>
              <w:bottom w:val="single" w:color="000000" w:sz="4" w:space="0"/>
              <w:right w:val="single" w:color="000000" w:sz="4" w:space="0"/>
            </w:tcBorders>
          </w:tcPr>
          <w:p>
            <w:pPr>
              <w:pStyle w:val="14"/>
              <w:kinsoku w:val="0"/>
              <w:overflowPunct w:val="0"/>
              <w:spacing w:before="52"/>
              <w:ind w:right="1"/>
              <w:jc w:val="center"/>
              <w:rPr>
                <w:rFonts w:ascii="仿宋" w:eastAsia="仿宋" w:cs="仿宋"/>
                <w:b/>
                <w:bCs/>
                <w:w w:val="88"/>
                <w:sz w:val="21"/>
                <w:szCs w:val="21"/>
              </w:rPr>
            </w:pPr>
            <w:r>
              <w:rPr>
                <w:rFonts w:hint="eastAsia" w:ascii="仿宋" w:eastAsia="仿宋" w:cs="仿宋"/>
                <w:b/>
                <w:bCs/>
                <w:w w:val="88"/>
                <w:sz w:val="21"/>
                <w:szCs w:val="21"/>
              </w:rPr>
              <w:t>序号</w:t>
            </w:r>
          </w:p>
        </w:tc>
        <w:tc>
          <w:tcPr>
            <w:tcW w:w="2976" w:type="dxa"/>
            <w:tcBorders>
              <w:top w:val="single" w:color="000000" w:sz="4" w:space="0"/>
              <w:left w:val="single" w:color="000000" w:sz="4" w:space="0"/>
              <w:bottom w:val="single" w:color="000000" w:sz="4" w:space="0"/>
              <w:right w:val="single" w:color="000000" w:sz="4" w:space="0"/>
            </w:tcBorders>
          </w:tcPr>
          <w:p>
            <w:pPr>
              <w:pStyle w:val="14"/>
              <w:kinsoku w:val="0"/>
              <w:overflowPunct w:val="0"/>
              <w:spacing w:before="52"/>
              <w:ind w:right="1"/>
              <w:jc w:val="center"/>
              <w:rPr>
                <w:rFonts w:ascii="仿宋" w:eastAsia="仿宋" w:cs="仿宋"/>
                <w:b/>
                <w:bCs/>
                <w:w w:val="88"/>
                <w:sz w:val="21"/>
                <w:szCs w:val="21"/>
              </w:rPr>
            </w:pPr>
            <w:r>
              <w:rPr>
                <w:rFonts w:hint="eastAsia" w:ascii="仿宋" w:eastAsia="仿宋" w:cs="仿宋"/>
                <w:b/>
                <w:bCs/>
                <w:w w:val="88"/>
                <w:sz w:val="21"/>
                <w:szCs w:val="21"/>
              </w:rPr>
              <w:t>任务名称</w:t>
            </w:r>
          </w:p>
        </w:tc>
        <w:tc>
          <w:tcPr>
            <w:tcW w:w="1947" w:type="dxa"/>
            <w:tcBorders>
              <w:top w:val="single" w:color="000000" w:sz="4" w:space="0"/>
              <w:left w:val="single" w:color="000000" w:sz="4" w:space="0"/>
              <w:bottom w:val="single" w:color="000000" w:sz="4" w:space="0"/>
              <w:right w:val="single" w:color="000000" w:sz="4" w:space="0"/>
            </w:tcBorders>
            <w:vAlign w:val="center"/>
          </w:tcPr>
          <w:p>
            <w:pPr>
              <w:pStyle w:val="14"/>
              <w:kinsoku w:val="0"/>
              <w:overflowPunct w:val="0"/>
              <w:spacing w:before="52" w:line="276" w:lineRule="exact"/>
              <w:ind w:right="1"/>
              <w:jc w:val="center"/>
              <w:rPr>
                <w:rFonts w:ascii="仿宋" w:eastAsia="仿宋" w:cs="仿宋"/>
                <w:b/>
                <w:bCs/>
                <w:w w:val="88"/>
                <w:sz w:val="21"/>
                <w:szCs w:val="21"/>
              </w:rPr>
            </w:pPr>
            <w:r>
              <w:rPr>
                <w:rFonts w:hint="eastAsia" w:ascii="仿宋" w:eastAsia="仿宋" w:cs="仿宋"/>
                <w:b/>
                <w:bCs/>
                <w:w w:val="88"/>
                <w:sz w:val="21"/>
                <w:szCs w:val="21"/>
              </w:rPr>
              <w:t>竞赛时间（小时）</w:t>
            </w:r>
          </w:p>
        </w:tc>
        <w:tc>
          <w:tcPr>
            <w:tcW w:w="1166" w:type="dxa"/>
            <w:tcBorders>
              <w:top w:val="single" w:color="000000" w:sz="4" w:space="0"/>
              <w:left w:val="single" w:color="000000" w:sz="4" w:space="0"/>
              <w:bottom w:val="single" w:color="000000" w:sz="4" w:space="0"/>
              <w:right w:val="single" w:color="000000" w:sz="4" w:space="0"/>
            </w:tcBorders>
          </w:tcPr>
          <w:p>
            <w:pPr>
              <w:pStyle w:val="14"/>
              <w:kinsoku w:val="0"/>
              <w:overflowPunct w:val="0"/>
              <w:spacing w:before="52"/>
              <w:ind w:left="389" w:right="1"/>
              <w:rPr>
                <w:rFonts w:ascii="仿宋" w:eastAsia="仿宋" w:cs="仿宋"/>
                <w:b/>
                <w:bCs/>
                <w:w w:val="88"/>
                <w:sz w:val="21"/>
                <w:szCs w:val="21"/>
              </w:rPr>
            </w:pPr>
            <w:r>
              <w:rPr>
                <w:rFonts w:hint="eastAsia" w:ascii="仿宋" w:eastAsia="仿宋" w:cs="仿宋"/>
                <w:b/>
                <w:bCs/>
                <w:w w:val="88"/>
                <w:sz w:val="21"/>
                <w:szCs w:val="21"/>
              </w:rPr>
              <w:t>分值</w:t>
            </w:r>
          </w:p>
        </w:tc>
      </w:tr>
      <w:tr>
        <w:tblPrEx>
          <w:tblCellMar>
            <w:top w:w="0" w:type="dxa"/>
            <w:left w:w="0" w:type="dxa"/>
            <w:bottom w:w="0" w:type="dxa"/>
            <w:right w:w="0" w:type="dxa"/>
          </w:tblCellMar>
        </w:tblPrEx>
        <w:trPr>
          <w:trHeight w:val="400" w:hRule="exact"/>
          <w:jc w:val="center"/>
        </w:trPr>
        <w:tc>
          <w:tcPr>
            <w:tcW w:w="1134" w:type="dxa"/>
            <w:tcBorders>
              <w:top w:val="single" w:color="000000" w:sz="4" w:space="0"/>
              <w:left w:val="single" w:color="000000" w:sz="4" w:space="0"/>
              <w:bottom w:val="single" w:color="000000" w:sz="4" w:space="0"/>
              <w:right w:val="single" w:color="000000" w:sz="4" w:space="0"/>
            </w:tcBorders>
          </w:tcPr>
          <w:p>
            <w:pPr>
              <w:pStyle w:val="14"/>
              <w:kinsoku w:val="0"/>
              <w:overflowPunct w:val="0"/>
              <w:spacing w:before="51"/>
              <w:ind w:right="1"/>
              <w:jc w:val="center"/>
              <w:rPr>
                <w:sz w:val="21"/>
                <w:szCs w:val="21"/>
              </w:rPr>
            </w:pPr>
            <w:r>
              <w:rPr>
                <w:rFonts w:hint="eastAsia" w:ascii="仿宋" w:eastAsia="仿宋" w:cs="仿宋"/>
                <w:w w:val="88"/>
                <w:sz w:val="21"/>
                <w:szCs w:val="21"/>
              </w:rPr>
              <w:t>任务一</w:t>
            </w:r>
          </w:p>
        </w:tc>
        <w:tc>
          <w:tcPr>
            <w:tcW w:w="2976" w:type="dxa"/>
            <w:tcBorders>
              <w:top w:val="single" w:color="000000" w:sz="4" w:space="0"/>
              <w:left w:val="single" w:color="000000" w:sz="4" w:space="0"/>
              <w:bottom w:val="single" w:color="000000" w:sz="4" w:space="0"/>
              <w:right w:val="single" w:color="000000" w:sz="4" w:space="0"/>
            </w:tcBorders>
            <w:vAlign w:val="center"/>
          </w:tcPr>
          <w:p>
            <w:pPr>
              <w:pStyle w:val="14"/>
              <w:kinsoku w:val="0"/>
              <w:overflowPunct w:val="0"/>
              <w:spacing w:before="51"/>
              <w:jc w:val="center"/>
              <w:rPr>
                <w:sz w:val="21"/>
                <w:szCs w:val="21"/>
              </w:rPr>
            </w:pPr>
            <w:r>
              <w:rPr>
                <w:rFonts w:hint="eastAsia" w:ascii="仿宋" w:eastAsia="仿宋" w:cs="仿宋"/>
                <w:spacing w:val="3"/>
                <w:sz w:val="21"/>
                <w:szCs w:val="21"/>
              </w:rPr>
              <w:t>物联网设备安装与调试</w:t>
            </w:r>
          </w:p>
        </w:tc>
        <w:tc>
          <w:tcPr>
            <w:tcW w:w="1947" w:type="dxa"/>
            <w:vMerge w:val="restart"/>
            <w:tcBorders>
              <w:top w:val="single" w:color="000000" w:sz="4" w:space="0"/>
              <w:left w:val="single" w:color="000000" w:sz="4" w:space="0"/>
              <w:right w:val="single" w:color="000000" w:sz="4" w:space="0"/>
            </w:tcBorders>
            <w:vAlign w:val="center"/>
          </w:tcPr>
          <w:p>
            <w:pPr>
              <w:pStyle w:val="14"/>
              <w:kinsoku w:val="0"/>
              <w:overflowPunct w:val="0"/>
              <w:spacing w:before="51"/>
              <w:jc w:val="center"/>
              <w:rPr>
                <w:sz w:val="21"/>
                <w:szCs w:val="21"/>
              </w:rPr>
            </w:pPr>
            <w:r>
              <w:rPr>
                <w:rFonts w:hint="eastAsia" w:ascii="仿宋" w:eastAsia="仿宋" w:cs="仿宋"/>
                <w:w w:val="88"/>
                <w:sz w:val="21"/>
                <w:szCs w:val="21"/>
              </w:rPr>
              <w:t>4</w:t>
            </w:r>
          </w:p>
        </w:tc>
        <w:tc>
          <w:tcPr>
            <w:tcW w:w="1166" w:type="dxa"/>
            <w:tcBorders>
              <w:top w:val="single" w:color="000000" w:sz="4" w:space="0"/>
              <w:left w:val="single" w:color="000000" w:sz="4" w:space="0"/>
              <w:bottom w:val="single" w:color="000000" w:sz="4" w:space="0"/>
              <w:right w:val="single" w:color="000000" w:sz="4" w:space="0"/>
            </w:tcBorders>
          </w:tcPr>
          <w:p>
            <w:pPr>
              <w:pStyle w:val="14"/>
              <w:kinsoku w:val="0"/>
              <w:overflowPunct w:val="0"/>
              <w:spacing w:before="51"/>
              <w:ind w:right="2"/>
              <w:jc w:val="center"/>
              <w:rPr>
                <w:sz w:val="21"/>
                <w:szCs w:val="21"/>
              </w:rPr>
            </w:pPr>
            <w:r>
              <w:rPr>
                <w:rFonts w:ascii="仿宋" w:eastAsia="仿宋" w:cs="仿宋"/>
                <w:sz w:val="21"/>
                <w:szCs w:val="21"/>
              </w:rPr>
              <w:t>22</w:t>
            </w:r>
          </w:p>
        </w:tc>
      </w:tr>
      <w:tr>
        <w:tblPrEx>
          <w:tblCellMar>
            <w:top w:w="0" w:type="dxa"/>
            <w:left w:w="0" w:type="dxa"/>
            <w:bottom w:w="0" w:type="dxa"/>
            <w:right w:w="0" w:type="dxa"/>
          </w:tblCellMar>
        </w:tblPrEx>
        <w:trPr>
          <w:trHeight w:val="400" w:hRule="exact"/>
          <w:jc w:val="center"/>
        </w:trPr>
        <w:tc>
          <w:tcPr>
            <w:tcW w:w="1134" w:type="dxa"/>
            <w:tcBorders>
              <w:top w:val="single" w:color="000000" w:sz="4" w:space="0"/>
              <w:left w:val="single" w:color="000000" w:sz="4" w:space="0"/>
              <w:bottom w:val="single" w:color="000000" w:sz="4" w:space="0"/>
              <w:right w:val="single" w:color="000000" w:sz="4" w:space="0"/>
            </w:tcBorders>
          </w:tcPr>
          <w:p>
            <w:pPr>
              <w:pStyle w:val="14"/>
              <w:kinsoku w:val="0"/>
              <w:overflowPunct w:val="0"/>
              <w:spacing w:before="52"/>
              <w:ind w:right="1"/>
              <w:jc w:val="center"/>
              <w:rPr>
                <w:sz w:val="21"/>
                <w:szCs w:val="21"/>
              </w:rPr>
            </w:pPr>
            <w:r>
              <w:rPr>
                <w:rFonts w:hint="eastAsia" w:ascii="仿宋" w:eastAsia="仿宋" w:cs="仿宋"/>
                <w:w w:val="88"/>
                <w:sz w:val="21"/>
                <w:szCs w:val="21"/>
              </w:rPr>
              <w:t>任务二</w:t>
            </w:r>
          </w:p>
        </w:tc>
        <w:tc>
          <w:tcPr>
            <w:tcW w:w="2976" w:type="dxa"/>
            <w:tcBorders>
              <w:top w:val="single" w:color="000000" w:sz="4" w:space="0"/>
              <w:left w:val="single" w:color="000000" w:sz="4" w:space="0"/>
              <w:bottom w:val="single" w:color="000000" w:sz="4" w:space="0"/>
              <w:right w:val="single" w:color="000000" w:sz="4" w:space="0"/>
            </w:tcBorders>
            <w:vAlign w:val="center"/>
          </w:tcPr>
          <w:p>
            <w:pPr>
              <w:pStyle w:val="14"/>
              <w:kinsoku w:val="0"/>
              <w:overflowPunct w:val="0"/>
              <w:spacing w:before="52"/>
              <w:jc w:val="center"/>
              <w:rPr>
                <w:sz w:val="21"/>
                <w:szCs w:val="21"/>
              </w:rPr>
            </w:pPr>
            <w:r>
              <w:rPr>
                <w:rFonts w:hint="eastAsia" w:ascii="仿宋" w:eastAsia="仿宋" w:cs="仿宋"/>
                <w:spacing w:val="3"/>
                <w:sz w:val="21"/>
                <w:szCs w:val="21"/>
              </w:rPr>
              <w:t>物联网网络搭建与配置</w:t>
            </w:r>
          </w:p>
        </w:tc>
        <w:tc>
          <w:tcPr>
            <w:tcW w:w="1947" w:type="dxa"/>
            <w:vMerge w:val="continue"/>
            <w:tcBorders>
              <w:left w:val="single" w:color="000000" w:sz="4" w:space="0"/>
              <w:right w:val="single" w:color="000000" w:sz="4" w:space="0"/>
            </w:tcBorders>
          </w:tcPr>
          <w:p>
            <w:pPr>
              <w:pStyle w:val="14"/>
              <w:kinsoku w:val="0"/>
              <w:overflowPunct w:val="0"/>
              <w:spacing w:before="51"/>
              <w:jc w:val="center"/>
              <w:rPr>
                <w:sz w:val="21"/>
                <w:szCs w:val="21"/>
              </w:rPr>
            </w:pPr>
          </w:p>
        </w:tc>
        <w:tc>
          <w:tcPr>
            <w:tcW w:w="1166" w:type="dxa"/>
            <w:tcBorders>
              <w:top w:val="single" w:color="000000" w:sz="4" w:space="0"/>
              <w:left w:val="single" w:color="000000" w:sz="4" w:space="0"/>
              <w:bottom w:val="single" w:color="000000" w:sz="4" w:space="0"/>
              <w:right w:val="single" w:color="000000" w:sz="4" w:space="0"/>
            </w:tcBorders>
          </w:tcPr>
          <w:p>
            <w:pPr>
              <w:pStyle w:val="14"/>
              <w:kinsoku w:val="0"/>
              <w:overflowPunct w:val="0"/>
              <w:spacing w:before="52"/>
              <w:ind w:right="2"/>
              <w:jc w:val="center"/>
              <w:rPr>
                <w:sz w:val="21"/>
                <w:szCs w:val="21"/>
              </w:rPr>
            </w:pPr>
            <w:r>
              <w:rPr>
                <w:rFonts w:ascii="仿宋" w:eastAsia="仿宋" w:cs="仿宋"/>
                <w:sz w:val="21"/>
                <w:szCs w:val="21"/>
              </w:rPr>
              <w:t>15</w:t>
            </w:r>
          </w:p>
        </w:tc>
      </w:tr>
      <w:tr>
        <w:tblPrEx>
          <w:tblCellMar>
            <w:top w:w="0" w:type="dxa"/>
            <w:left w:w="0" w:type="dxa"/>
            <w:bottom w:w="0" w:type="dxa"/>
            <w:right w:w="0" w:type="dxa"/>
          </w:tblCellMar>
        </w:tblPrEx>
        <w:trPr>
          <w:trHeight w:val="400" w:hRule="exact"/>
          <w:jc w:val="center"/>
        </w:trPr>
        <w:tc>
          <w:tcPr>
            <w:tcW w:w="1134" w:type="dxa"/>
            <w:tcBorders>
              <w:top w:val="single" w:color="000000" w:sz="4" w:space="0"/>
              <w:left w:val="single" w:color="000000" w:sz="4" w:space="0"/>
              <w:bottom w:val="single" w:color="000000" w:sz="4" w:space="0"/>
              <w:right w:val="single" w:color="000000" w:sz="4" w:space="0"/>
            </w:tcBorders>
          </w:tcPr>
          <w:p>
            <w:pPr>
              <w:pStyle w:val="14"/>
              <w:kinsoku w:val="0"/>
              <w:overflowPunct w:val="0"/>
              <w:spacing w:before="52"/>
              <w:ind w:right="1"/>
              <w:jc w:val="center"/>
              <w:rPr>
                <w:sz w:val="21"/>
                <w:szCs w:val="21"/>
              </w:rPr>
            </w:pPr>
            <w:r>
              <w:rPr>
                <w:rFonts w:hint="eastAsia" w:ascii="仿宋" w:eastAsia="仿宋" w:cs="仿宋"/>
                <w:w w:val="88"/>
                <w:sz w:val="21"/>
                <w:szCs w:val="21"/>
              </w:rPr>
              <w:t>任务三</w:t>
            </w:r>
          </w:p>
        </w:tc>
        <w:tc>
          <w:tcPr>
            <w:tcW w:w="2976" w:type="dxa"/>
            <w:tcBorders>
              <w:top w:val="single" w:color="000000" w:sz="4" w:space="0"/>
              <w:left w:val="single" w:color="000000" w:sz="4" w:space="0"/>
              <w:bottom w:val="single" w:color="000000" w:sz="4" w:space="0"/>
              <w:right w:val="single" w:color="000000" w:sz="4" w:space="0"/>
            </w:tcBorders>
            <w:vAlign w:val="center"/>
          </w:tcPr>
          <w:p>
            <w:pPr>
              <w:pStyle w:val="14"/>
              <w:kinsoku w:val="0"/>
              <w:overflowPunct w:val="0"/>
              <w:spacing w:before="52"/>
              <w:jc w:val="center"/>
              <w:rPr>
                <w:sz w:val="21"/>
                <w:szCs w:val="21"/>
              </w:rPr>
            </w:pPr>
            <w:r>
              <w:rPr>
                <w:rFonts w:hint="eastAsia" w:ascii="仿宋" w:eastAsia="仿宋" w:cs="仿宋"/>
                <w:spacing w:val="3"/>
                <w:sz w:val="21"/>
                <w:szCs w:val="21"/>
              </w:rPr>
              <w:t>物联网软件部署与系统集成</w:t>
            </w:r>
          </w:p>
        </w:tc>
        <w:tc>
          <w:tcPr>
            <w:tcW w:w="1947" w:type="dxa"/>
            <w:vMerge w:val="continue"/>
            <w:tcBorders>
              <w:left w:val="single" w:color="000000" w:sz="4" w:space="0"/>
              <w:right w:val="single" w:color="000000" w:sz="4" w:space="0"/>
            </w:tcBorders>
          </w:tcPr>
          <w:p>
            <w:pPr>
              <w:pStyle w:val="14"/>
              <w:kinsoku w:val="0"/>
              <w:overflowPunct w:val="0"/>
              <w:spacing w:before="51"/>
              <w:jc w:val="center"/>
              <w:rPr>
                <w:sz w:val="21"/>
                <w:szCs w:val="21"/>
              </w:rPr>
            </w:pPr>
          </w:p>
        </w:tc>
        <w:tc>
          <w:tcPr>
            <w:tcW w:w="1166" w:type="dxa"/>
            <w:tcBorders>
              <w:top w:val="single" w:color="000000" w:sz="4" w:space="0"/>
              <w:left w:val="single" w:color="000000" w:sz="4" w:space="0"/>
              <w:bottom w:val="single" w:color="000000" w:sz="4" w:space="0"/>
              <w:right w:val="single" w:color="000000" w:sz="4" w:space="0"/>
            </w:tcBorders>
          </w:tcPr>
          <w:p>
            <w:pPr>
              <w:pStyle w:val="14"/>
              <w:kinsoku w:val="0"/>
              <w:overflowPunct w:val="0"/>
              <w:spacing w:before="52"/>
              <w:ind w:right="2"/>
              <w:jc w:val="center"/>
              <w:rPr>
                <w:sz w:val="21"/>
                <w:szCs w:val="21"/>
              </w:rPr>
            </w:pPr>
            <w:r>
              <w:rPr>
                <w:rFonts w:ascii="仿宋" w:eastAsia="仿宋" w:cs="仿宋"/>
                <w:sz w:val="21"/>
                <w:szCs w:val="21"/>
              </w:rPr>
              <w:t>15</w:t>
            </w:r>
          </w:p>
        </w:tc>
      </w:tr>
      <w:tr>
        <w:tblPrEx>
          <w:tblCellMar>
            <w:top w:w="0" w:type="dxa"/>
            <w:left w:w="0" w:type="dxa"/>
            <w:bottom w:w="0" w:type="dxa"/>
            <w:right w:w="0" w:type="dxa"/>
          </w:tblCellMar>
        </w:tblPrEx>
        <w:trPr>
          <w:trHeight w:val="400" w:hRule="exact"/>
          <w:jc w:val="center"/>
        </w:trPr>
        <w:tc>
          <w:tcPr>
            <w:tcW w:w="1134" w:type="dxa"/>
            <w:tcBorders>
              <w:top w:val="single" w:color="000000" w:sz="4" w:space="0"/>
              <w:left w:val="single" w:color="000000" w:sz="4" w:space="0"/>
              <w:bottom w:val="single" w:color="000000" w:sz="4" w:space="0"/>
              <w:right w:val="single" w:color="000000" w:sz="4" w:space="0"/>
            </w:tcBorders>
          </w:tcPr>
          <w:p>
            <w:pPr>
              <w:pStyle w:val="14"/>
              <w:kinsoku w:val="0"/>
              <w:overflowPunct w:val="0"/>
              <w:spacing w:before="51"/>
              <w:ind w:right="1"/>
              <w:jc w:val="center"/>
              <w:rPr>
                <w:sz w:val="21"/>
                <w:szCs w:val="21"/>
              </w:rPr>
            </w:pPr>
            <w:r>
              <w:rPr>
                <w:rFonts w:hint="eastAsia" w:ascii="仿宋" w:eastAsia="仿宋" w:cs="仿宋"/>
                <w:w w:val="88"/>
                <w:sz w:val="21"/>
                <w:szCs w:val="21"/>
              </w:rPr>
              <w:t>任务四</w:t>
            </w:r>
          </w:p>
        </w:tc>
        <w:tc>
          <w:tcPr>
            <w:tcW w:w="2976" w:type="dxa"/>
            <w:tcBorders>
              <w:top w:val="single" w:color="000000" w:sz="4" w:space="0"/>
              <w:left w:val="single" w:color="000000" w:sz="4" w:space="0"/>
              <w:bottom w:val="single" w:color="000000" w:sz="4" w:space="0"/>
              <w:right w:val="single" w:color="000000" w:sz="4" w:space="0"/>
            </w:tcBorders>
            <w:vAlign w:val="center"/>
          </w:tcPr>
          <w:p>
            <w:pPr>
              <w:pStyle w:val="14"/>
              <w:kinsoku w:val="0"/>
              <w:overflowPunct w:val="0"/>
              <w:spacing w:before="51"/>
              <w:jc w:val="center"/>
              <w:rPr>
                <w:sz w:val="21"/>
                <w:szCs w:val="21"/>
              </w:rPr>
            </w:pPr>
            <w:r>
              <w:rPr>
                <w:rFonts w:hint="eastAsia" w:ascii="仿宋" w:eastAsia="仿宋" w:cs="仿宋"/>
                <w:spacing w:val="3"/>
                <w:sz w:val="21"/>
                <w:szCs w:val="21"/>
              </w:rPr>
              <w:t>物联网平台运行维护</w:t>
            </w:r>
          </w:p>
        </w:tc>
        <w:tc>
          <w:tcPr>
            <w:tcW w:w="1947" w:type="dxa"/>
            <w:vMerge w:val="continue"/>
            <w:tcBorders>
              <w:left w:val="single" w:color="000000" w:sz="4" w:space="0"/>
              <w:right w:val="single" w:color="000000" w:sz="4" w:space="0"/>
            </w:tcBorders>
          </w:tcPr>
          <w:p>
            <w:pPr>
              <w:pStyle w:val="14"/>
              <w:kinsoku w:val="0"/>
              <w:overflowPunct w:val="0"/>
              <w:spacing w:before="51"/>
              <w:jc w:val="center"/>
              <w:rPr>
                <w:sz w:val="21"/>
                <w:szCs w:val="21"/>
              </w:rPr>
            </w:pPr>
          </w:p>
        </w:tc>
        <w:tc>
          <w:tcPr>
            <w:tcW w:w="1166" w:type="dxa"/>
            <w:tcBorders>
              <w:top w:val="single" w:color="000000" w:sz="4" w:space="0"/>
              <w:left w:val="single" w:color="000000" w:sz="4" w:space="0"/>
              <w:bottom w:val="single" w:color="000000" w:sz="4" w:space="0"/>
              <w:right w:val="single" w:color="000000" w:sz="4" w:space="0"/>
            </w:tcBorders>
          </w:tcPr>
          <w:p>
            <w:pPr>
              <w:pStyle w:val="14"/>
              <w:kinsoku w:val="0"/>
              <w:overflowPunct w:val="0"/>
              <w:spacing w:before="51"/>
              <w:ind w:right="2"/>
              <w:jc w:val="center"/>
              <w:rPr>
                <w:sz w:val="21"/>
                <w:szCs w:val="21"/>
              </w:rPr>
            </w:pPr>
            <w:r>
              <w:rPr>
                <w:rFonts w:ascii="仿宋" w:eastAsia="仿宋" w:cs="仿宋"/>
                <w:sz w:val="21"/>
                <w:szCs w:val="21"/>
              </w:rPr>
              <w:t>20</w:t>
            </w:r>
          </w:p>
        </w:tc>
      </w:tr>
      <w:tr>
        <w:tblPrEx>
          <w:tblCellMar>
            <w:top w:w="0" w:type="dxa"/>
            <w:left w:w="0" w:type="dxa"/>
            <w:bottom w:w="0" w:type="dxa"/>
            <w:right w:w="0" w:type="dxa"/>
          </w:tblCellMar>
        </w:tblPrEx>
        <w:trPr>
          <w:trHeight w:val="400" w:hRule="exact"/>
          <w:jc w:val="center"/>
        </w:trPr>
        <w:tc>
          <w:tcPr>
            <w:tcW w:w="1134" w:type="dxa"/>
            <w:tcBorders>
              <w:top w:val="single" w:color="000000" w:sz="4" w:space="0"/>
              <w:left w:val="single" w:color="000000" w:sz="4" w:space="0"/>
              <w:bottom w:val="single" w:color="000000" w:sz="4" w:space="0"/>
              <w:right w:val="single" w:color="000000" w:sz="4" w:space="0"/>
            </w:tcBorders>
          </w:tcPr>
          <w:p>
            <w:pPr>
              <w:pStyle w:val="14"/>
              <w:kinsoku w:val="0"/>
              <w:overflowPunct w:val="0"/>
              <w:spacing w:before="51"/>
              <w:ind w:right="1"/>
              <w:jc w:val="center"/>
              <w:rPr>
                <w:sz w:val="21"/>
                <w:szCs w:val="21"/>
              </w:rPr>
            </w:pPr>
            <w:r>
              <w:rPr>
                <w:rFonts w:hint="eastAsia" w:ascii="仿宋" w:eastAsia="仿宋" w:cs="仿宋"/>
                <w:w w:val="88"/>
                <w:sz w:val="21"/>
                <w:szCs w:val="21"/>
              </w:rPr>
              <w:t>任务五</w:t>
            </w:r>
          </w:p>
        </w:tc>
        <w:tc>
          <w:tcPr>
            <w:tcW w:w="2976" w:type="dxa"/>
            <w:tcBorders>
              <w:top w:val="single" w:color="000000" w:sz="4" w:space="0"/>
              <w:left w:val="single" w:color="000000" w:sz="4" w:space="0"/>
              <w:bottom w:val="single" w:color="000000" w:sz="4" w:space="0"/>
              <w:right w:val="single" w:color="000000" w:sz="4" w:space="0"/>
            </w:tcBorders>
            <w:vAlign w:val="center"/>
          </w:tcPr>
          <w:p>
            <w:pPr>
              <w:pStyle w:val="14"/>
              <w:kinsoku w:val="0"/>
              <w:overflowPunct w:val="0"/>
              <w:spacing w:before="51"/>
              <w:jc w:val="center"/>
              <w:rPr>
                <w:sz w:val="21"/>
                <w:szCs w:val="21"/>
              </w:rPr>
            </w:pPr>
            <w:r>
              <w:rPr>
                <w:rFonts w:hint="eastAsia" w:ascii="仿宋" w:eastAsia="仿宋" w:cs="仿宋"/>
                <w:spacing w:val="3"/>
                <w:sz w:val="21"/>
                <w:szCs w:val="21"/>
              </w:rPr>
              <w:t>物联网应用辅助开发</w:t>
            </w:r>
          </w:p>
        </w:tc>
        <w:tc>
          <w:tcPr>
            <w:tcW w:w="1947" w:type="dxa"/>
            <w:vMerge w:val="continue"/>
            <w:tcBorders>
              <w:left w:val="single" w:color="000000" w:sz="4" w:space="0"/>
              <w:right w:val="single" w:color="000000" w:sz="4" w:space="0"/>
            </w:tcBorders>
          </w:tcPr>
          <w:p>
            <w:pPr>
              <w:pStyle w:val="14"/>
              <w:kinsoku w:val="0"/>
              <w:overflowPunct w:val="0"/>
              <w:spacing w:before="51"/>
              <w:jc w:val="center"/>
              <w:rPr>
                <w:sz w:val="21"/>
                <w:szCs w:val="21"/>
              </w:rPr>
            </w:pPr>
          </w:p>
        </w:tc>
        <w:tc>
          <w:tcPr>
            <w:tcW w:w="1166" w:type="dxa"/>
            <w:tcBorders>
              <w:top w:val="single" w:color="000000" w:sz="4" w:space="0"/>
              <w:left w:val="single" w:color="000000" w:sz="4" w:space="0"/>
              <w:bottom w:val="single" w:color="000000" w:sz="4" w:space="0"/>
              <w:right w:val="single" w:color="000000" w:sz="4" w:space="0"/>
            </w:tcBorders>
          </w:tcPr>
          <w:p>
            <w:pPr>
              <w:pStyle w:val="14"/>
              <w:kinsoku w:val="0"/>
              <w:overflowPunct w:val="0"/>
              <w:spacing w:before="51"/>
              <w:ind w:right="2"/>
              <w:jc w:val="center"/>
              <w:rPr>
                <w:sz w:val="21"/>
                <w:szCs w:val="21"/>
              </w:rPr>
            </w:pPr>
            <w:r>
              <w:rPr>
                <w:rFonts w:ascii="仿宋" w:eastAsia="仿宋" w:cs="仿宋"/>
                <w:sz w:val="21"/>
                <w:szCs w:val="21"/>
              </w:rPr>
              <w:t>25</w:t>
            </w:r>
          </w:p>
        </w:tc>
      </w:tr>
      <w:tr>
        <w:tblPrEx>
          <w:tblCellMar>
            <w:top w:w="0" w:type="dxa"/>
            <w:left w:w="0" w:type="dxa"/>
            <w:bottom w:w="0" w:type="dxa"/>
            <w:right w:w="0" w:type="dxa"/>
          </w:tblCellMar>
        </w:tblPrEx>
        <w:trPr>
          <w:trHeight w:val="400" w:hRule="exact"/>
          <w:jc w:val="center"/>
        </w:trPr>
        <w:tc>
          <w:tcPr>
            <w:tcW w:w="1134" w:type="dxa"/>
            <w:tcBorders>
              <w:top w:val="single" w:color="000000" w:sz="4" w:space="0"/>
              <w:left w:val="single" w:color="000000" w:sz="4" w:space="0"/>
              <w:bottom w:val="single" w:color="000000" w:sz="4" w:space="0"/>
              <w:right w:val="single" w:color="000000" w:sz="4" w:space="0"/>
            </w:tcBorders>
          </w:tcPr>
          <w:p>
            <w:pPr>
              <w:pStyle w:val="14"/>
              <w:kinsoku w:val="0"/>
              <w:overflowPunct w:val="0"/>
              <w:spacing w:before="51"/>
              <w:ind w:right="1"/>
              <w:jc w:val="center"/>
              <w:rPr>
                <w:rFonts w:ascii="仿宋" w:eastAsia="仿宋" w:cs="仿宋"/>
                <w:w w:val="88"/>
                <w:sz w:val="21"/>
                <w:szCs w:val="21"/>
              </w:rPr>
            </w:pPr>
            <w:r>
              <w:rPr>
                <w:rFonts w:hint="eastAsia" w:ascii="仿宋" w:eastAsia="仿宋" w:cs="仿宋"/>
                <w:w w:val="88"/>
                <w:sz w:val="21"/>
                <w:szCs w:val="21"/>
              </w:rPr>
              <w:t>任务六</w:t>
            </w:r>
          </w:p>
        </w:tc>
        <w:tc>
          <w:tcPr>
            <w:tcW w:w="2976" w:type="dxa"/>
            <w:tcBorders>
              <w:top w:val="single" w:color="000000" w:sz="4" w:space="0"/>
              <w:left w:val="single" w:color="000000" w:sz="4" w:space="0"/>
              <w:bottom w:val="single" w:color="000000" w:sz="4" w:space="0"/>
              <w:right w:val="single" w:color="000000" w:sz="4" w:space="0"/>
            </w:tcBorders>
            <w:vAlign w:val="center"/>
          </w:tcPr>
          <w:p>
            <w:pPr>
              <w:pStyle w:val="14"/>
              <w:kinsoku w:val="0"/>
              <w:overflowPunct w:val="0"/>
              <w:spacing w:before="51"/>
              <w:jc w:val="center"/>
              <w:rPr>
                <w:rFonts w:ascii="仿宋" w:eastAsia="仿宋" w:cs="仿宋"/>
                <w:spacing w:val="3"/>
                <w:sz w:val="21"/>
                <w:szCs w:val="21"/>
              </w:rPr>
            </w:pPr>
            <w:r>
              <w:rPr>
                <w:rFonts w:hint="eastAsia" w:ascii="仿宋" w:eastAsia="仿宋" w:cs="仿宋"/>
                <w:spacing w:val="3"/>
                <w:sz w:val="21"/>
                <w:szCs w:val="21"/>
              </w:rPr>
              <w:t>职业素养</w:t>
            </w:r>
          </w:p>
        </w:tc>
        <w:tc>
          <w:tcPr>
            <w:tcW w:w="1947" w:type="dxa"/>
            <w:tcBorders>
              <w:left w:val="single" w:color="000000" w:sz="4" w:space="0"/>
              <w:bottom w:val="single" w:color="000000" w:sz="4" w:space="0"/>
              <w:right w:val="single" w:color="000000" w:sz="4" w:space="0"/>
            </w:tcBorders>
          </w:tcPr>
          <w:p>
            <w:pPr>
              <w:pStyle w:val="14"/>
              <w:kinsoku w:val="0"/>
              <w:overflowPunct w:val="0"/>
              <w:spacing w:before="51"/>
              <w:jc w:val="center"/>
              <w:rPr>
                <w:sz w:val="21"/>
                <w:szCs w:val="21"/>
              </w:rPr>
            </w:pPr>
          </w:p>
        </w:tc>
        <w:tc>
          <w:tcPr>
            <w:tcW w:w="1166" w:type="dxa"/>
            <w:tcBorders>
              <w:top w:val="single" w:color="000000" w:sz="4" w:space="0"/>
              <w:left w:val="single" w:color="000000" w:sz="4" w:space="0"/>
              <w:bottom w:val="single" w:color="000000" w:sz="4" w:space="0"/>
              <w:right w:val="single" w:color="000000" w:sz="4" w:space="0"/>
            </w:tcBorders>
          </w:tcPr>
          <w:p>
            <w:pPr>
              <w:pStyle w:val="14"/>
              <w:kinsoku w:val="0"/>
              <w:overflowPunct w:val="0"/>
              <w:spacing w:before="51"/>
              <w:ind w:right="2"/>
              <w:jc w:val="center"/>
              <w:rPr>
                <w:rFonts w:ascii="仿宋" w:eastAsia="仿宋" w:cs="仿宋"/>
                <w:sz w:val="21"/>
                <w:szCs w:val="21"/>
              </w:rPr>
            </w:pPr>
            <w:r>
              <w:rPr>
                <w:rFonts w:hint="eastAsia" w:ascii="仿宋" w:eastAsia="仿宋" w:cs="仿宋"/>
                <w:sz w:val="21"/>
                <w:szCs w:val="21"/>
              </w:rPr>
              <w:t>3</w:t>
            </w:r>
          </w:p>
        </w:tc>
      </w:tr>
    </w:tbl>
    <w:p>
      <w:pPr>
        <w:ind w:left="480" w:leftChars="200" w:firstLine="0" w:firstLineChars="0"/>
        <w:rPr>
          <w:rFonts w:ascii="仿宋" w:hAnsi="仿宋" w:cs="仿宋"/>
          <w:b/>
          <w:szCs w:val="24"/>
        </w:rPr>
      </w:pPr>
      <w:r>
        <w:rPr>
          <w:rFonts w:hint="eastAsia" w:ascii="仿宋" w:hAnsi="仿宋" w:cs="仿宋"/>
          <w:b/>
          <w:szCs w:val="24"/>
        </w:rPr>
        <w:t>（二）教师组竞赛内容</w:t>
      </w:r>
    </w:p>
    <w:p>
      <w:pPr>
        <w:ind w:firstLine="480"/>
        <w:rPr>
          <w:rFonts w:ascii="仿宋" w:hAnsi="仿宋" w:cs="仿宋"/>
          <w:bCs/>
          <w:szCs w:val="24"/>
        </w:rPr>
      </w:pPr>
      <w:r>
        <w:rPr>
          <w:rFonts w:hint="eastAsia" w:ascii="仿宋" w:hAnsi="仿宋" w:cs="仿宋"/>
          <w:bCs/>
          <w:szCs w:val="24"/>
        </w:rPr>
        <w:t>本赛项竞赛主要考核选手理论知识、实操技能和职业素养。其中：</w:t>
      </w:r>
    </w:p>
    <w:p>
      <w:pPr>
        <w:ind w:firstLine="480"/>
        <w:rPr>
          <w:rFonts w:ascii="仿宋" w:hAnsi="仿宋" w:cs="仿宋"/>
          <w:bCs/>
          <w:szCs w:val="24"/>
        </w:rPr>
      </w:pPr>
      <w:r>
        <w:rPr>
          <w:rFonts w:hint="eastAsia" w:ascii="仿宋" w:hAnsi="仿宋" w:cs="仿宋"/>
          <w:bCs/>
          <w:szCs w:val="24"/>
        </w:rPr>
        <w:t>（1）理论知识考核占比</w:t>
      </w:r>
      <w:r>
        <w:rPr>
          <w:rFonts w:ascii="仿宋" w:hAnsi="仿宋" w:cs="仿宋"/>
          <w:bCs/>
          <w:szCs w:val="24"/>
        </w:rPr>
        <w:t>10</w:t>
      </w:r>
      <w:r>
        <w:rPr>
          <w:rFonts w:hint="eastAsia" w:ascii="仿宋" w:hAnsi="仿宋" w:cs="仿宋"/>
          <w:bCs/>
          <w:szCs w:val="24"/>
        </w:rPr>
        <w:t>%，考核内容主要包含：物联网相关基础理论知识以及典型物联网应用系统核心技术相关理论知识。主要包括：物联网原理、RFID、传感器、智能传感器与无线传感网技术、物联网智能设备与嵌入技术、计算机网络、移动通信技术、物联网定位技术、物联网数据处理、数据库技术、物联网应用开发技术等。理论知识考核满分为100分，占竞赛总成绩90%。</w:t>
      </w:r>
    </w:p>
    <w:p>
      <w:pPr>
        <w:ind w:firstLine="480"/>
        <w:rPr>
          <w:rFonts w:ascii="仿宋" w:hAnsi="仿宋" w:cs="仿宋"/>
          <w:bCs/>
          <w:szCs w:val="24"/>
        </w:rPr>
      </w:pPr>
      <w:r>
        <w:rPr>
          <w:rFonts w:hint="eastAsia" w:ascii="仿宋" w:hAnsi="仿宋" w:cs="仿宋"/>
          <w:bCs/>
          <w:szCs w:val="24"/>
        </w:rPr>
        <w:t>（2）实操技能考核占比</w:t>
      </w:r>
      <w:r>
        <w:rPr>
          <w:rFonts w:ascii="仿宋" w:hAnsi="仿宋" w:cs="仿宋"/>
          <w:bCs/>
          <w:szCs w:val="24"/>
        </w:rPr>
        <w:t>90</w:t>
      </w:r>
      <w:r>
        <w:rPr>
          <w:rFonts w:hint="eastAsia" w:ascii="仿宋" w:hAnsi="仿宋" w:cs="仿宋"/>
          <w:bCs/>
          <w:szCs w:val="24"/>
        </w:rPr>
        <w:t>%，考核内容主要包含：根据物联网项目需求，利用专业工具安装调试硬件设备，建立并管理物联网工程的网络环境，部署安装软件系统，配置物联网平台，辅助开发、调试和维护物联网应用。要求选手在规定时间内，根据物联网应用场景要求完成竞赛任务，通过对物联网系统相关硬件设备及软件系统的操作，构建真实的物联网工作场景，根据任务要求完成竞赛指导方案设计。职业素养在实操中进行考核，考核内容主要包含选手在实操过程中的操作、安全、生产、清洁、整理等方面的职业素养。实操技能考核满分为100分，占竞赛总成绩90%。</w:t>
      </w:r>
    </w:p>
    <w:p>
      <w:pPr>
        <w:pStyle w:val="4"/>
        <w:kinsoku w:val="0"/>
        <w:overflowPunct w:val="0"/>
        <w:ind w:left="779"/>
        <w:rPr>
          <w:sz w:val="24"/>
          <w:szCs w:val="24"/>
        </w:rPr>
      </w:pPr>
      <w:r>
        <w:rPr>
          <w:rFonts w:hint="eastAsia"/>
          <w:sz w:val="24"/>
          <w:szCs w:val="24"/>
        </w:rPr>
        <w:t>本赛项具体包括以下内容。</w:t>
      </w:r>
    </w:p>
    <w:tbl>
      <w:tblPr>
        <w:tblStyle w:val="7"/>
        <w:tblW w:w="6958" w:type="dxa"/>
        <w:jc w:val="center"/>
        <w:tblLayout w:type="fixed"/>
        <w:tblCellMar>
          <w:top w:w="0" w:type="dxa"/>
          <w:left w:w="0" w:type="dxa"/>
          <w:bottom w:w="0" w:type="dxa"/>
          <w:right w:w="0" w:type="dxa"/>
        </w:tblCellMar>
      </w:tblPr>
      <w:tblGrid>
        <w:gridCol w:w="1244"/>
        <w:gridCol w:w="2922"/>
        <w:gridCol w:w="1790"/>
        <w:gridCol w:w="1002"/>
      </w:tblGrid>
      <w:tr>
        <w:tblPrEx>
          <w:tblCellMar>
            <w:top w:w="0" w:type="dxa"/>
            <w:left w:w="0" w:type="dxa"/>
            <w:bottom w:w="0" w:type="dxa"/>
            <w:right w:w="0" w:type="dxa"/>
          </w:tblCellMar>
        </w:tblPrEx>
        <w:trPr>
          <w:trHeight w:val="391" w:hRule="exact"/>
          <w:jc w:val="center"/>
        </w:trPr>
        <w:tc>
          <w:tcPr>
            <w:tcW w:w="1244" w:type="dxa"/>
            <w:tcBorders>
              <w:top w:val="single" w:color="000000" w:sz="4" w:space="0"/>
              <w:left w:val="single" w:color="000000" w:sz="4" w:space="0"/>
              <w:bottom w:val="single" w:color="000000" w:sz="4" w:space="0"/>
              <w:right w:val="single" w:color="000000" w:sz="4" w:space="0"/>
            </w:tcBorders>
            <w:vAlign w:val="center"/>
          </w:tcPr>
          <w:p>
            <w:pPr>
              <w:pStyle w:val="14"/>
              <w:kinsoku w:val="0"/>
              <w:overflowPunct w:val="0"/>
              <w:spacing w:before="52"/>
              <w:ind w:right="1"/>
              <w:jc w:val="center"/>
              <w:rPr>
                <w:rFonts w:ascii="仿宋" w:eastAsia="仿宋" w:cs="仿宋"/>
                <w:b/>
                <w:bCs/>
                <w:w w:val="88"/>
                <w:sz w:val="21"/>
                <w:szCs w:val="21"/>
              </w:rPr>
            </w:pPr>
            <w:r>
              <w:rPr>
                <w:rFonts w:hint="eastAsia" w:ascii="仿宋" w:eastAsia="仿宋" w:cs="仿宋"/>
                <w:b/>
                <w:bCs/>
                <w:w w:val="88"/>
                <w:sz w:val="21"/>
                <w:szCs w:val="21"/>
              </w:rPr>
              <w:t>序号</w:t>
            </w:r>
          </w:p>
        </w:tc>
        <w:tc>
          <w:tcPr>
            <w:tcW w:w="2922" w:type="dxa"/>
            <w:tcBorders>
              <w:top w:val="single" w:color="000000" w:sz="4" w:space="0"/>
              <w:left w:val="single" w:color="000000" w:sz="4" w:space="0"/>
              <w:bottom w:val="single" w:color="000000" w:sz="4" w:space="0"/>
              <w:right w:val="single" w:color="000000" w:sz="4" w:space="0"/>
            </w:tcBorders>
            <w:vAlign w:val="center"/>
          </w:tcPr>
          <w:p>
            <w:pPr>
              <w:pStyle w:val="14"/>
              <w:kinsoku w:val="0"/>
              <w:overflowPunct w:val="0"/>
              <w:spacing w:before="52"/>
              <w:ind w:right="1"/>
              <w:jc w:val="center"/>
              <w:rPr>
                <w:rFonts w:ascii="仿宋" w:eastAsia="仿宋" w:cs="仿宋"/>
                <w:b/>
                <w:bCs/>
                <w:w w:val="88"/>
                <w:sz w:val="21"/>
                <w:szCs w:val="21"/>
              </w:rPr>
            </w:pPr>
            <w:r>
              <w:rPr>
                <w:rFonts w:hint="eastAsia" w:ascii="仿宋" w:eastAsia="仿宋" w:cs="仿宋"/>
                <w:b/>
                <w:bCs/>
                <w:w w:val="88"/>
                <w:sz w:val="21"/>
                <w:szCs w:val="21"/>
              </w:rPr>
              <w:t>任务名称</w:t>
            </w:r>
          </w:p>
        </w:tc>
        <w:tc>
          <w:tcPr>
            <w:tcW w:w="1790" w:type="dxa"/>
            <w:tcBorders>
              <w:top w:val="single" w:color="000000" w:sz="4" w:space="0"/>
              <w:left w:val="single" w:color="000000" w:sz="4" w:space="0"/>
              <w:bottom w:val="single" w:color="000000" w:sz="4" w:space="0"/>
              <w:right w:val="single" w:color="000000" w:sz="4" w:space="0"/>
            </w:tcBorders>
            <w:vAlign w:val="center"/>
          </w:tcPr>
          <w:p>
            <w:pPr>
              <w:pStyle w:val="14"/>
              <w:kinsoku w:val="0"/>
              <w:overflowPunct w:val="0"/>
              <w:spacing w:before="52" w:line="276" w:lineRule="exact"/>
              <w:ind w:right="1"/>
              <w:jc w:val="center"/>
              <w:rPr>
                <w:rFonts w:ascii="仿宋" w:eastAsia="仿宋" w:cs="仿宋"/>
                <w:b/>
                <w:bCs/>
                <w:w w:val="88"/>
                <w:sz w:val="21"/>
                <w:szCs w:val="21"/>
              </w:rPr>
            </w:pPr>
            <w:r>
              <w:rPr>
                <w:rFonts w:hint="eastAsia" w:ascii="仿宋" w:eastAsia="仿宋" w:cs="仿宋"/>
                <w:b/>
                <w:bCs/>
                <w:w w:val="88"/>
                <w:sz w:val="21"/>
                <w:szCs w:val="21"/>
              </w:rPr>
              <w:t>竞赛时间（小时）</w:t>
            </w:r>
          </w:p>
        </w:tc>
        <w:tc>
          <w:tcPr>
            <w:tcW w:w="1002" w:type="dxa"/>
            <w:tcBorders>
              <w:top w:val="single" w:color="000000" w:sz="4" w:space="0"/>
              <w:left w:val="single" w:color="000000" w:sz="4" w:space="0"/>
              <w:bottom w:val="single" w:color="000000" w:sz="4" w:space="0"/>
              <w:right w:val="single" w:color="000000" w:sz="4" w:space="0"/>
            </w:tcBorders>
            <w:vAlign w:val="center"/>
          </w:tcPr>
          <w:p>
            <w:pPr>
              <w:pStyle w:val="14"/>
              <w:kinsoku w:val="0"/>
              <w:overflowPunct w:val="0"/>
              <w:spacing w:before="52"/>
              <w:ind w:right="1"/>
              <w:jc w:val="center"/>
              <w:rPr>
                <w:rFonts w:ascii="仿宋" w:eastAsia="仿宋" w:cs="仿宋"/>
                <w:b/>
                <w:bCs/>
                <w:w w:val="88"/>
                <w:sz w:val="21"/>
                <w:szCs w:val="21"/>
              </w:rPr>
            </w:pPr>
            <w:r>
              <w:rPr>
                <w:rFonts w:hint="eastAsia" w:ascii="仿宋" w:eastAsia="仿宋" w:cs="仿宋"/>
                <w:b/>
                <w:bCs/>
                <w:w w:val="88"/>
                <w:sz w:val="21"/>
                <w:szCs w:val="21"/>
              </w:rPr>
              <w:t>分值</w:t>
            </w:r>
          </w:p>
        </w:tc>
      </w:tr>
      <w:tr>
        <w:tblPrEx>
          <w:tblCellMar>
            <w:top w:w="0" w:type="dxa"/>
            <w:left w:w="0" w:type="dxa"/>
            <w:bottom w:w="0" w:type="dxa"/>
            <w:right w:w="0" w:type="dxa"/>
          </w:tblCellMar>
        </w:tblPrEx>
        <w:trPr>
          <w:trHeight w:val="359" w:hRule="exact"/>
          <w:jc w:val="center"/>
        </w:trPr>
        <w:tc>
          <w:tcPr>
            <w:tcW w:w="1244" w:type="dxa"/>
            <w:tcBorders>
              <w:top w:val="single" w:color="000000" w:sz="4" w:space="0"/>
              <w:left w:val="single" w:color="000000" w:sz="4" w:space="0"/>
              <w:bottom w:val="single" w:color="000000" w:sz="4" w:space="0"/>
              <w:right w:val="single" w:color="000000" w:sz="4" w:space="0"/>
            </w:tcBorders>
          </w:tcPr>
          <w:p>
            <w:pPr>
              <w:pStyle w:val="14"/>
              <w:kinsoku w:val="0"/>
              <w:overflowPunct w:val="0"/>
              <w:spacing w:before="51"/>
              <w:ind w:right="1"/>
              <w:jc w:val="center"/>
              <w:rPr>
                <w:rFonts w:ascii="仿宋" w:eastAsia="仿宋" w:cs="仿宋"/>
                <w:w w:val="88"/>
                <w:sz w:val="21"/>
                <w:szCs w:val="21"/>
              </w:rPr>
            </w:pPr>
            <w:r>
              <w:rPr>
                <w:rFonts w:hint="eastAsia" w:ascii="仿宋" w:eastAsia="仿宋" w:cs="仿宋"/>
                <w:w w:val="88"/>
                <w:sz w:val="21"/>
                <w:szCs w:val="21"/>
              </w:rPr>
              <w:t>任务一</w:t>
            </w:r>
          </w:p>
        </w:tc>
        <w:tc>
          <w:tcPr>
            <w:tcW w:w="2922" w:type="dxa"/>
            <w:tcBorders>
              <w:top w:val="single" w:color="000000" w:sz="4" w:space="0"/>
              <w:left w:val="single" w:color="000000" w:sz="4" w:space="0"/>
              <w:bottom w:val="single" w:color="000000" w:sz="4" w:space="0"/>
              <w:right w:val="single" w:color="000000" w:sz="4" w:space="0"/>
            </w:tcBorders>
          </w:tcPr>
          <w:p>
            <w:pPr>
              <w:pStyle w:val="14"/>
              <w:kinsoku w:val="0"/>
              <w:overflowPunct w:val="0"/>
              <w:spacing w:before="51"/>
              <w:jc w:val="center"/>
              <w:rPr>
                <w:sz w:val="21"/>
                <w:szCs w:val="21"/>
              </w:rPr>
            </w:pPr>
            <w:r>
              <w:rPr>
                <w:rFonts w:hint="eastAsia" w:ascii="仿宋" w:eastAsia="仿宋" w:cs="仿宋"/>
                <w:spacing w:val="3"/>
                <w:sz w:val="21"/>
                <w:szCs w:val="21"/>
              </w:rPr>
              <w:t>物联网设备安装与调试</w:t>
            </w:r>
          </w:p>
        </w:tc>
        <w:tc>
          <w:tcPr>
            <w:tcW w:w="1790" w:type="dxa"/>
            <w:vMerge w:val="restart"/>
            <w:tcBorders>
              <w:top w:val="single" w:color="000000" w:sz="4" w:space="0"/>
              <w:left w:val="single" w:color="000000" w:sz="4" w:space="0"/>
              <w:right w:val="single" w:color="000000" w:sz="4" w:space="0"/>
            </w:tcBorders>
            <w:vAlign w:val="center"/>
          </w:tcPr>
          <w:p>
            <w:pPr>
              <w:pStyle w:val="14"/>
              <w:kinsoku w:val="0"/>
              <w:overflowPunct w:val="0"/>
              <w:spacing w:before="51"/>
              <w:jc w:val="center"/>
              <w:rPr>
                <w:sz w:val="21"/>
                <w:szCs w:val="21"/>
              </w:rPr>
            </w:pPr>
            <w:r>
              <w:rPr>
                <w:rFonts w:hint="eastAsia" w:ascii="仿宋" w:eastAsia="仿宋" w:cs="仿宋"/>
                <w:w w:val="88"/>
                <w:sz w:val="21"/>
                <w:szCs w:val="21"/>
              </w:rPr>
              <w:t>4</w:t>
            </w:r>
          </w:p>
        </w:tc>
        <w:tc>
          <w:tcPr>
            <w:tcW w:w="1002" w:type="dxa"/>
            <w:tcBorders>
              <w:top w:val="single" w:color="000000" w:sz="4" w:space="0"/>
              <w:left w:val="single" w:color="000000" w:sz="4" w:space="0"/>
              <w:bottom w:val="single" w:color="000000" w:sz="4" w:space="0"/>
              <w:right w:val="single" w:color="000000" w:sz="4" w:space="0"/>
            </w:tcBorders>
          </w:tcPr>
          <w:p>
            <w:pPr>
              <w:pStyle w:val="14"/>
              <w:kinsoku w:val="0"/>
              <w:overflowPunct w:val="0"/>
              <w:spacing w:before="51"/>
              <w:ind w:right="2"/>
              <w:jc w:val="center"/>
              <w:rPr>
                <w:sz w:val="21"/>
                <w:szCs w:val="21"/>
              </w:rPr>
            </w:pPr>
            <w:r>
              <w:rPr>
                <w:rFonts w:ascii="仿宋" w:eastAsia="仿宋" w:cs="仿宋"/>
                <w:sz w:val="21"/>
                <w:szCs w:val="21"/>
              </w:rPr>
              <w:t>22</w:t>
            </w:r>
          </w:p>
        </w:tc>
      </w:tr>
      <w:tr>
        <w:tblPrEx>
          <w:tblCellMar>
            <w:top w:w="0" w:type="dxa"/>
            <w:left w:w="0" w:type="dxa"/>
            <w:bottom w:w="0" w:type="dxa"/>
            <w:right w:w="0" w:type="dxa"/>
          </w:tblCellMar>
        </w:tblPrEx>
        <w:trPr>
          <w:trHeight w:val="359" w:hRule="exact"/>
          <w:jc w:val="center"/>
        </w:trPr>
        <w:tc>
          <w:tcPr>
            <w:tcW w:w="1244" w:type="dxa"/>
            <w:tcBorders>
              <w:top w:val="single" w:color="000000" w:sz="4" w:space="0"/>
              <w:left w:val="single" w:color="000000" w:sz="4" w:space="0"/>
              <w:bottom w:val="single" w:color="000000" w:sz="4" w:space="0"/>
              <w:right w:val="single" w:color="000000" w:sz="4" w:space="0"/>
            </w:tcBorders>
          </w:tcPr>
          <w:p>
            <w:pPr>
              <w:pStyle w:val="14"/>
              <w:kinsoku w:val="0"/>
              <w:overflowPunct w:val="0"/>
              <w:spacing w:before="52"/>
              <w:ind w:right="1"/>
              <w:jc w:val="center"/>
              <w:rPr>
                <w:rFonts w:ascii="仿宋" w:eastAsia="仿宋" w:cs="仿宋"/>
                <w:w w:val="88"/>
                <w:sz w:val="21"/>
                <w:szCs w:val="21"/>
              </w:rPr>
            </w:pPr>
            <w:r>
              <w:rPr>
                <w:rFonts w:hint="eastAsia" w:ascii="仿宋" w:eastAsia="仿宋" w:cs="仿宋"/>
                <w:w w:val="88"/>
                <w:sz w:val="21"/>
                <w:szCs w:val="21"/>
              </w:rPr>
              <w:t>任务二</w:t>
            </w:r>
          </w:p>
        </w:tc>
        <w:tc>
          <w:tcPr>
            <w:tcW w:w="2922" w:type="dxa"/>
            <w:tcBorders>
              <w:top w:val="single" w:color="000000" w:sz="4" w:space="0"/>
              <w:left w:val="single" w:color="000000" w:sz="4" w:space="0"/>
              <w:bottom w:val="single" w:color="000000" w:sz="4" w:space="0"/>
              <w:right w:val="single" w:color="000000" w:sz="4" w:space="0"/>
            </w:tcBorders>
          </w:tcPr>
          <w:p>
            <w:pPr>
              <w:pStyle w:val="14"/>
              <w:kinsoku w:val="0"/>
              <w:overflowPunct w:val="0"/>
              <w:spacing w:before="52"/>
              <w:jc w:val="center"/>
              <w:rPr>
                <w:sz w:val="21"/>
                <w:szCs w:val="21"/>
              </w:rPr>
            </w:pPr>
            <w:r>
              <w:rPr>
                <w:rFonts w:hint="eastAsia" w:ascii="仿宋" w:eastAsia="仿宋" w:cs="仿宋"/>
                <w:spacing w:val="3"/>
                <w:sz w:val="21"/>
                <w:szCs w:val="21"/>
              </w:rPr>
              <w:t>物联网网络搭建与配置</w:t>
            </w:r>
          </w:p>
        </w:tc>
        <w:tc>
          <w:tcPr>
            <w:tcW w:w="1790" w:type="dxa"/>
            <w:vMerge w:val="continue"/>
            <w:tcBorders>
              <w:left w:val="single" w:color="000000" w:sz="4" w:space="0"/>
              <w:right w:val="single" w:color="000000" w:sz="4" w:space="0"/>
            </w:tcBorders>
          </w:tcPr>
          <w:p>
            <w:pPr>
              <w:pStyle w:val="14"/>
              <w:kinsoku w:val="0"/>
              <w:overflowPunct w:val="0"/>
              <w:spacing w:before="51"/>
              <w:jc w:val="center"/>
              <w:rPr>
                <w:sz w:val="21"/>
                <w:szCs w:val="21"/>
              </w:rPr>
            </w:pPr>
          </w:p>
        </w:tc>
        <w:tc>
          <w:tcPr>
            <w:tcW w:w="1002" w:type="dxa"/>
            <w:tcBorders>
              <w:top w:val="single" w:color="000000" w:sz="4" w:space="0"/>
              <w:left w:val="single" w:color="000000" w:sz="4" w:space="0"/>
              <w:bottom w:val="single" w:color="000000" w:sz="4" w:space="0"/>
              <w:right w:val="single" w:color="000000" w:sz="4" w:space="0"/>
            </w:tcBorders>
          </w:tcPr>
          <w:p>
            <w:pPr>
              <w:pStyle w:val="14"/>
              <w:kinsoku w:val="0"/>
              <w:overflowPunct w:val="0"/>
              <w:spacing w:before="52"/>
              <w:ind w:right="2"/>
              <w:jc w:val="center"/>
              <w:rPr>
                <w:sz w:val="21"/>
                <w:szCs w:val="21"/>
              </w:rPr>
            </w:pPr>
            <w:r>
              <w:rPr>
                <w:rFonts w:ascii="仿宋" w:eastAsia="仿宋" w:cs="仿宋"/>
                <w:sz w:val="21"/>
                <w:szCs w:val="21"/>
              </w:rPr>
              <w:t>15</w:t>
            </w:r>
          </w:p>
        </w:tc>
      </w:tr>
      <w:tr>
        <w:tblPrEx>
          <w:tblCellMar>
            <w:top w:w="0" w:type="dxa"/>
            <w:left w:w="0" w:type="dxa"/>
            <w:bottom w:w="0" w:type="dxa"/>
            <w:right w:w="0" w:type="dxa"/>
          </w:tblCellMar>
        </w:tblPrEx>
        <w:trPr>
          <w:trHeight w:val="359" w:hRule="exact"/>
          <w:jc w:val="center"/>
        </w:trPr>
        <w:tc>
          <w:tcPr>
            <w:tcW w:w="1244" w:type="dxa"/>
            <w:tcBorders>
              <w:top w:val="single" w:color="000000" w:sz="4" w:space="0"/>
              <w:left w:val="single" w:color="000000" w:sz="4" w:space="0"/>
              <w:bottom w:val="single" w:color="000000" w:sz="4" w:space="0"/>
              <w:right w:val="single" w:color="000000" w:sz="4" w:space="0"/>
            </w:tcBorders>
          </w:tcPr>
          <w:p>
            <w:pPr>
              <w:pStyle w:val="14"/>
              <w:kinsoku w:val="0"/>
              <w:overflowPunct w:val="0"/>
              <w:spacing w:before="52"/>
              <w:ind w:right="1"/>
              <w:jc w:val="center"/>
              <w:rPr>
                <w:rFonts w:ascii="仿宋" w:eastAsia="仿宋" w:cs="仿宋"/>
                <w:w w:val="88"/>
                <w:sz w:val="21"/>
                <w:szCs w:val="21"/>
              </w:rPr>
            </w:pPr>
            <w:r>
              <w:rPr>
                <w:rFonts w:hint="eastAsia" w:ascii="仿宋" w:eastAsia="仿宋" w:cs="仿宋"/>
                <w:w w:val="88"/>
                <w:sz w:val="21"/>
                <w:szCs w:val="21"/>
              </w:rPr>
              <w:t>任务三</w:t>
            </w:r>
          </w:p>
        </w:tc>
        <w:tc>
          <w:tcPr>
            <w:tcW w:w="2922" w:type="dxa"/>
            <w:tcBorders>
              <w:top w:val="single" w:color="000000" w:sz="4" w:space="0"/>
              <w:left w:val="single" w:color="000000" w:sz="4" w:space="0"/>
              <w:bottom w:val="single" w:color="000000" w:sz="4" w:space="0"/>
              <w:right w:val="single" w:color="000000" w:sz="4" w:space="0"/>
            </w:tcBorders>
          </w:tcPr>
          <w:p>
            <w:pPr>
              <w:pStyle w:val="14"/>
              <w:kinsoku w:val="0"/>
              <w:overflowPunct w:val="0"/>
              <w:spacing w:before="52"/>
              <w:jc w:val="center"/>
              <w:rPr>
                <w:rFonts w:ascii="仿宋" w:eastAsia="仿宋" w:cs="仿宋"/>
                <w:spacing w:val="3"/>
                <w:sz w:val="21"/>
                <w:szCs w:val="21"/>
              </w:rPr>
            </w:pPr>
            <w:r>
              <w:rPr>
                <w:rFonts w:hint="eastAsia" w:ascii="仿宋" w:eastAsia="仿宋" w:cs="仿宋"/>
                <w:spacing w:val="3"/>
                <w:sz w:val="21"/>
                <w:szCs w:val="21"/>
              </w:rPr>
              <w:t>物联网软件部署与系统集成</w:t>
            </w:r>
          </w:p>
        </w:tc>
        <w:tc>
          <w:tcPr>
            <w:tcW w:w="1790" w:type="dxa"/>
            <w:vMerge w:val="continue"/>
            <w:tcBorders>
              <w:left w:val="single" w:color="000000" w:sz="4" w:space="0"/>
              <w:right w:val="single" w:color="000000" w:sz="4" w:space="0"/>
            </w:tcBorders>
          </w:tcPr>
          <w:p>
            <w:pPr>
              <w:pStyle w:val="14"/>
              <w:kinsoku w:val="0"/>
              <w:overflowPunct w:val="0"/>
              <w:spacing w:before="51"/>
              <w:jc w:val="center"/>
              <w:rPr>
                <w:sz w:val="21"/>
                <w:szCs w:val="21"/>
              </w:rPr>
            </w:pPr>
          </w:p>
        </w:tc>
        <w:tc>
          <w:tcPr>
            <w:tcW w:w="1002" w:type="dxa"/>
            <w:tcBorders>
              <w:top w:val="single" w:color="000000" w:sz="4" w:space="0"/>
              <w:left w:val="single" w:color="000000" w:sz="4" w:space="0"/>
              <w:bottom w:val="single" w:color="000000" w:sz="4" w:space="0"/>
              <w:right w:val="single" w:color="000000" w:sz="4" w:space="0"/>
            </w:tcBorders>
          </w:tcPr>
          <w:p>
            <w:pPr>
              <w:pStyle w:val="14"/>
              <w:kinsoku w:val="0"/>
              <w:overflowPunct w:val="0"/>
              <w:spacing w:before="52"/>
              <w:ind w:right="2"/>
              <w:jc w:val="center"/>
              <w:rPr>
                <w:sz w:val="21"/>
                <w:szCs w:val="21"/>
              </w:rPr>
            </w:pPr>
            <w:r>
              <w:rPr>
                <w:rFonts w:ascii="仿宋" w:eastAsia="仿宋" w:cs="仿宋"/>
                <w:sz w:val="21"/>
                <w:szCs w:val="21"/>
              </w:rPr>
              <w:t>15</w:t>
            </w:r>
          </w:p>
        </w:tc>
      </w:tr>
      <w:tr>
        <w:tblPrEx>
          <w:tblCellMar>
            <w:top w:w="0" w:type="dxa"/>
            <w:left w:w="0" w:type="dxa"/>
            <w:bottom w:w="0" w:type="dxa"/>
            <w:right w:w="0" w:type="dxa"/>
          </w:tblCellMar>
        </w:tblPrEx>
        <w:trPr>
          <w:trHeight w:val="359" w:hRule="exact"/>
          <w:jc w:val="center"/>
        </w:trPr>
        <w:tc>
          <w:tcPr>
            <w:tcW w:w="1244" w:type="dxa"/>
            <w:tcBorders>
              <w:top w:val="single" w:color="000000" w:sz="4" w:space="0"/>
              <w:left w:val="single" w:color="000000" w:sz="4" w:space="0"/>
              <w:bottom w:val="single" w:color="000000" w:sz="4" w:space="0"/>
              <w:right w:val="single" w:color="000000" w:sz="4" w:space="0"/>
            </w:tcBorders>
          </w:tcPr>
          <w:p>
            <w:pPr>
              <w:pStyle w:val="14"/>
              <w:kinsoku w:val="0"/>
              <w:overflowPunct w:val="0"/>
              <w:spacing w:before="51"/>
              <w:ind w:right="1"/>
              <w:jc w:val="center"/>
              <w:rPr>
                <w:rFonts w:ascii="仿宋" w:eastAsia="仿宋" w:cs="仿宋"/>
                <w:w w:val="88"/>
                <w:sz w:val="21"/>
                <w:szCs w:val="21"/>
              </w:rPr>
            </w:pPr>
            <w:r>
              <w:rPr>
                <w:rFonts w:hint="eastAsia" w:ascii="仿宋" w:eastAsia="仿宋" w:cs="仿宋"/>
                <w:w w:val="88"/>
                <w:sz w:val="21"/>
                <w:szCs w:val="21"/>
              </w:rPr>
              <w:t>任务四</w:t>
            </w:r>
          </w:p>
        </w:tc>
        <w:tc>
          <w:tcPr>
            <w:tcW w:w="2922" w:type="dxa"/>
            <w:tcBorders>
              <w:top w:val="single" w:color="000000" w:sz="4" w:space="0"/>
              <w:left w:val="single" w:color="000000" w:sz="4" w:space="0"/>
              <w:bottom w:val="single" w:color="000000" w:sz="4" w:space="0"/>
              <w:right w:val="single" w:color="000000" w:sz="4" w:space="0"/>
            </w:tcBorders>
          </w:tcPr>
          <w:p>
            <w:pPr>
              <w:pStyle w:val="14"/>
              <w:kinsoku w:val="0"/>
              <w:overflowPunct w:val="0"/>
              <w:spacing w:before="52"/>
              <w:jc w:val="center"/>
              <w:rPr>
                <w:rFonts w:ascii="仿宋" w:eastAsia="仿宋" w:cs="仿宋"/>
                <w:spacing w:val="3"/>
                <w:sz w:val="21"/>
                <w:szCs w:val="21"/>
              </w:rPr>
            </w:pPr>
            <w:r>
              <w:rPr>
                <w:rFonts w:hint="eastAsia" w:ascii="仿宋" w:eastAsia="仿宋" w:cs="仿宋"/>
                <w:spacing w:val="3"/>
                <w:sz w:val="21"/>
                <w:szCs w:val="21"/>
              </w:rPr>
              <w:t>物联网应用辅助开发</w:t>
            </w:r>
          </w:p>
        </w:tc>
        <w:tc>
          <w:tcPr>
            <w:tcW w:w="1790" w:type="dxa"/>
            <w:vMerge w:val="continue"/>
            <w:tcBorders>
              <w:left w:val="single" w:color="000000" w:sz="4" w:space="0"/>
              <w:right w:val="single" w:color="000000" w:sz="4" w:space="0"/>
            </w:tcBorders>
          </w:tcPr>
          <w:p>
            <w:pPr>
              <w:pStyle w:val="14"/>
              <w:kinsoku w:val="0"/>
              <w:overflowPunct w:val="0"/>
              <w:spacing w:before="51"/>
              <w:jc w:val="center"/>
              <w:rPr>
                <w:sz w:val="21"/>
                <w:szCs w:val="21"/>
              </w:rPr>
            </w:pPr>
          </w:p>
        </w:tc>
        <w:tc>
          <w:tcPr>
            <w:tcW w:w="1002" w:type="dxa"/>
            <w:tcBorders>
              <w:top w:val="single" w:color="000000" w:sz="4" w:space="0"/>
              <w:left w:val="single" w:color="000000" w:sz="4" w:space="0"/>
              <w:bottom w:val="single" w:color="000000" w:sz="4" w:space="0"/>
              <w:right w:val="single" w:color="000000" w:sz="4" w:space="0"/>
            </w:tcBorders>
          </w:tcPr>
          <w:p>
            <w:pPr>
              <w:pStyle w:val="14"/>
              <w:kinsoku w:val="0"/>
              <w:overflowPunct w:val="0"/>
              <w:spacing w:before="52"/>
              <w:ind w:right="2"/>
              <w:jc w:val="center"/>
              <w:rPr>
                <w:rFonts w:ascii="仿宋" w:eastAsia="仿宋" w:cs="仿宋"/>
                <w:sz w:val="21"/>
                <w:szCs w:val="21"/>
              </w:rPr>
            </w:pPr>
            <w:r>
              <w:rPr>
                <w:rFonts w:ascii="仿宋" w:eastAsia="仿宋" w:cs="仿宋"/>
                <w:sz w:val="21"/>
                <w:szCs w:val="21"/>
              </w:rPr>
              <w:t>25</w:t>
            </w:r>
          </w:p>
        </w:tc>
      </w:tr>
      <w:tr>
        <w:tblPrEx>
          <w:tblCellMar>
            <w:top w:w="0" w:type="dxa"/>
            <w:left w:w="0" w:type="dxa"/>
            <w:bottom w:w="0" w:type="dxa"/>
            <w:right w:w="0" w:type="dxa"/>
          </w:tblCellMar>
        </w:tblPrEx>
        <w:trPr>
          <w:trHeight w:val="359" w:hRule="exact"/>
          <w:jc w:val="center"/>
        </w:trPr>
        <w:tc>
          <w:tcPr>
            <w:tcW w:w="1244" w:type="dxa"/>
            <w:tcBorders>
              <w:top w:val="single" w:color="000000" w:sz="4" w:space="0"/>
              <w:left w:val="single" w:color="000000" w:sz="4" w:space="0"/>
              <w:bottom w:val="single" w:color="000000" w:sz="4" w:space="0"/>
              <w:right w:val="single" w:color="000000" w:sz="4" w:space="0"/>
            </w:tcBorders>
          </w:tcPr>
          <w:p>
            <w:pPr>
              <w:pStyle w:val="14"/>
              <w:kinsoku w:val="0"/>
              <w:overflowPunct w:val="0"/>
              <w:spacing w:before="51"/>
              <w:ind w:right="1"/>
              <w:jc w:val="center"/>
              <w:rPr>
                <w:rFonts w:ascii="仿宋" w:eastAsia="仿宋" w:cs="仿宋"/>
                <w:w w:val="88"/>
                <w:sz w:val="21"/>
                <w:szCs w:val="21"/>
              </w:rPr>
            </w:pPr>
            <w:r>
              <w:rPr>
                <w:rFonts w:hint="eastAsia" w:ascii="仿宋" w:eastAsia="仿宋" w:cs="仿宋"/>
                <w:w w:val="88"/>
                <w:sz w:val="21"/>
                <w:szCs w:val="21"/>
              </w:rPr>
              <w:t>任务五</w:t>
            </w:r>
          </w:p>
        </w:tc>
        <w:tc>
          <w:tcPr>
            <w:tcW w:w="2922" w:type="dxa"/>
            <w:tcBorders>
              <w:top w:val="single" w:color="000000" w:sz="4" w:space="0"/>
              <w:left w:val="single" w:color="000000" w:sz="4" w:space="0"/>
              <w:bottom w:val="single" w:color="000000" w:sz="4" w:space="0"/>
              <w:right w:val="single" w:color="000000" w:sz="4" w:space="0"/>
            </w:tcBorders>
          </w:tcPr>
          <w:p>
            <w:pPr>
              <w:pStyle w:val="14"/>
              <w:kinsoku w:val="0"/>
              <w:overflowPunct w:val="0"/>
              <w:spacing w:before="52"/>
              <w:jc w:val="center"/>
              <w:rPr>
                <w:rFonts w:ascii="仿宋" w:eastAsia="仿宋" w:cs="仿宋"/>
                <w:spacing w:val="3"/>
                <w:sz w:val="21"/>
                <w:szCs w:val="21"/>
              </w:rPr>
            </w:pPr>
            <w:r>
              <w:rPr>
                <w:rFonts w:hint="eastAsia" w:ascii="仿宋" w:eastAsia="仿宋" w:cs="仿宋"/>
                <w:spacing w:val="3"/>
                <w:sz w:val="21"/>
                <w:szCs w:val="21"/>
              </w:rPr>
              <w:t>竞赛指导方案设计</w:t>
            </w:r>
          </w:p>
        </w:tc>
        <w:tc>
          <w:tcPr>
            <w:tcW w:w="1790" w:type="dxa"/>
            <w:vMerge w:val="continue"/>
            <w:tcBorders>
              <w:left w:val="single" w:color="000000" w:sz="4" w:space="0"/>
              <w:right w:val="single" w:color="000000" w:sz="4" w:space="0"/>
            </w:tcBorders>
          </w:tcPr>
          <w:p>
            <w:pPr>
              <w:pStyle w:val="14"/>
              <w:kinsoku w:val="0"/>
              <w:overflowPunct w:val="0"/>
              <w:spacing w:before="51"/>
              <w:jc w:val="center"/>
              <w:rPr>
                <w:sz w:val="21"/>
                <w:szCs w:val="21"/>
              </w:rPr>
            </w:pPr>
          </w:p>
        </w:tc>
        <w:tc>
          <w:tcPr>
            <w:tcW w:w="1002" w:type="dxa"/>
            <w:tcBorders>
              <w:top w:val="single" w:color="000000" w:sz="4" w:space="0"/>
              <w:left w:val="single" w:color="000000" w:sz="4" w:space="0"/>
              <w:bottom w:val="single" w:color="000000" w:sz="4" w:space="0"/>
              <w:right w:val="single" w:color="000000" w:sz="4" w:space="0"/>
            </w:tcBorders>
          </w:tcPr>
          <w:p>
            <w:pPr>
              <w:pStyle w:val="14"/>
              <w:kinsoku w:val="0"/>
              <w:overflowPunct w:val="0"/>
              <w:spacing w:before="52"/>
              <w:ind w:right="2"/>
              <w:jc w:val="center"/>
              <w:rPr>
                <w:rFonts w:ascii="仿宋" w:eastAsia="仿宋" w:cs="仿宋"/>
                <w:sz w:val="21"/>
                <w:szCs w:val="21"/>
              </w:rPr>
            </w:pPr>
            <w:r>
              <w:rPr>
                <w:rFonts w:hint="eastAsia" w:ascii="仿宋" w:eastAsia="仿宋" w:cs="仿宋"/>
                <w:sz w:val="21"/>
                <w:szCs w:val="21"/>
              </w:rPr>
              <w:t>20</w:t>
            </w:r>
          </w:p>
        </w:tc>
      </w:tr>
      <w:tr>
        <w:tblPrEx>
          <w:tblCellMar>
            <w:top w:w="0" w:type="dxa"/>
            <w:left w:w="0" w:type="dxa"/>
            <w:bottom w:w="0" w:type="dxa"/>
            <w:right w:w="0" w:type="dxa"/>
          </w:tblCellMar>
        </w:tblPrEx>
        <w:trPr>
          <w:trHeight w:val="359" w:hRule="exact"/>
          <w:jc w:val="center"/>
        </w:trPr>
        <w:tc>
          <w:tcPr>
            <w:tcW w:w="1244" w:type="dxa"/>
            <w:tcBorders>
              <w:top w:val="single" w:color="000000" w:sz="4" w:space="0"/>
              <w:left w:val="single" w:color="000000" w:sz="4" w:space="0"/>
              <w:bottom w:val="single" w:color="000000" w:sz="4" w:space="0"/>
              <w:right w:val="single" w:color="000000" w:sz="4" w:space="0"/>
            </w:tcBorders>
          </w:tcPr>
          <w:p>
            <w:pPr>
              <w:pStyle w:val="14"/>
              <w:kinsoku w:val="0"/>
              <w:overflowPunct w:val="0"/>
              <w:spacing w:before="51"/>
              <w:ind w:right="1"/>
              <w:jc w:val="center"/>
              <w:rPr>
                <w:rFonts w:ascii="仿宋" w:eastAsia="仿宋" w:cs="仿宋"/>
                <w:w w:val="88"/>
                <w:sz w:val="21"/>
                <w:szCs w:val="21"/>
              </w:rPr>
            </w:pPr>
            <w:r>
              <w:rPr>
                <w:rFonts w:hint="eastAsia" w:ascii="仿宋" w:eastAsia="仿宋" w:cs="仿宋"/>
                <w:w w:val="88"/>
                <w:sz w:val="21"/>
                <w:szCs w:val="21"/>
              </w:rPr>
              <w:t>任务六</w:t>
            </w:r>
          </w:p>
        </w:tc>
        <w:tc>
          <w:tcPr>
            <w:tcW w:w="2922" w:type="dxa"/>
            <w:tcBorders>
              <w:top w:val="single" w:color="000000" w:sz="4" w:space="0"/>
              <w:left w:val="single" w:color="000000" w:sz="4" w:space="0"/>
              <w:bottom w:val="single" w:color="000000" w:sz="4" w:space="0"/>
              <w:right w:val="single" w:color="000000" w:sz="4" w:space="0"/>
            </w:tcBorders>
          </w:tcPr>
          <w:p>
            <w:pPr>
              <w:pStyle w:val="14"/>
              <w:kinsoku w:val="0"/>
              <w:overflowPunct w:val="0"/>
              <w:spacing w:before="52"/>
              <w:jc w:val="center"/>
              <w:rPr>
                <w:rFonts w:ascii="仿宋" w:eastAsia="仿宋" w:cs="仿宋"/>
                <w:spacing w:val="3"/>
                <w:sz w:val="21"/>
                <w:szCs w:val="21"/>
              </w:rPr>
            </w:pPr>
            <w:r>
              <w:rPr>
                <w:rFonts w:hint="eastAsia" w:ascii="仿宋" w:eastAsia="仿宋" w:cs="仿宋"/>
                <w:w w:val="88"/>
                <w:sz w:val="21"/>
                <w:szCs w:val="21"/>
              </w:rPr>
              <w:t>职业素养</w:t>
            </w:r>
          </w:p>
        </w:tc>
        <w:tc>
          <w:tcPr>
            <w:tcW w:w="1790" w:type="dxa"/>
            <w:tcBorders>
              <w:left w:val="single" w:color="000000" w:sz="4" w:space="0"/>
              <w:bottom w:val="single" w:color="000000" w:sz="4" w:space="0"/>
              <w:right w:val="single" w:color="000000" w:sz="4" w:space="0"/>
            </w:tcBorders>
          </w:tcPr>
          <w:p>
            <w:pPr>
              <w:pStyle w:val="14"/>
              <w:kinsoku w:val="0"/>
              <w:overflowPunct w:val="0"/>
              <w:spacing w:before="51"/>
              <w:jc w:val="center"/>
              <w:rPr>
                <w:sz w:val="21"/>
                <w:szCs w:val="21"/>
              </w:rPr>
            </w:pPr>
          </w:p>
        </w:tc>
        <w:tc>
          <w:tcPr>
            <w:tcW w:w="1002" w:type="dxa"/>
            <w:tcBorders>
              <w:top w:val="single" w:color="000000" w:sz="4" w:space="0"/>
              <w:left w:val="single" w:color="000000" w:sz="4" w:space="0"/>
              <w:bottom w:val="single" w:color="000000" w:sz="4" w:space="0"/>
              <w:right w:val="single" w:color="000000" w:sz="4" w:space="0"/>
            </w:tcBorders>
          </w:tcPr>
          <w:p>
            <w:pPr>
              <w:pStyle w:val="14"/>
              <w:kinsoku w:val="0"/>
              <w:overflowPunct w:val="0"/>
              <w:spacing w:before="52"/>
              <w:ind w:right="2"/>
              <w:jc w:val="center"/>
              <w:rPr>
                <w:rFonts w:ascii="仿宋" w:eastAsia="仿宋" w:cs="仿宋"/>
                <w:sz w:val="21"/>
                <w:szCs w:val="21"/>
              </w:rPr>
            </w:pPr>
            <w:r>
              <w:rPr>
                <w:rFonts w:hint="eastAsia" w:ascii="仿宋" w:eastAsia="仿宋" w:cs="仿宋"/>
                <w:sz w:val="21"/>
                <w:szCs w:val="21"/>
              </w:rPr>
              <w:t>3</w:t>
            </w:r>
          </w:p>
        </w:tc>
      </w:tr>
    </w:tbl>
    <w:p>
      <w:pPr>
        <w:numPr>
          <w:ilvl w:val="0"/>
          <w:numId w:val="1"/>
        </w:numPr>
        <w:ind w:firstLine="482"/>
        <w:rPr>
          <w:rFonts w:ascii="仿宋" w:hAnsi="仿宋" w:cs="仿宋"/>
          <w:b/>
          <w:color w:val="FF0000"/>
          <w:szCs w:val="24"/>
        </w:rPr>
      </w:pPr>
      <w:r>
        <w:rPr>
          <w:rFonts w:hint="eastAsia" w:ascii="仿宋" w:hAnsi="仿宋" w:cs="仿宋"/>
          <w:b/>
          <w:szCs w:val="24"/>
        </w:rPr>
        <w:t xml:space="preserve">竞赛方式 </w:t>
      </w:r>
    </w:p>
    <w:p>
      <w:pPr>
        <w:ind w:firstLine="480"/>
        <w:rPr>
          <w:rFonts w:ascii="仿宋" w:hAnsi="仿宋" w:cs="仿宋"/>
          <w:bCs/>
          <w:szCs w:val="24"/>
        </w:rPr>
      </w:pPr>
      <w:r>
        <w:rPr>
          <w:rFonts w:hint="eastAsia" w:ascii="仿宋" w:hAnsi="仿宋" w:cs="仿宋"/>
          <w:bCs/>
          <w:szCs w:val="24"/>
        </w:rPr>
        <w:t>本赛项为团体赛。</w:t>
      </w:r>
    </w:p>
    <w:p>
      <w:pPr>
        <w:ind w:firstLine="480"/>
        <w:rPr>
          <w:rFonts w:ascii="仿宋" w:hAnsi="仿宋" w:cs="仿宋"/>
          <w:bCs/>
          <w:szCs w:val="24"/>
        </w:rPr>
      </w:pPr>
      <w:r>
        <w:rPr>
          <w:rFonts w:hint="eastAsia" w:ascii="仿宋" w:hAnsi="仿宋" w:cs="仿宋"/>
          <w:bCs/>
          <w:szCs w:val="24"/>
        </w:rPr>
        <w:t>学生组团体赛参赛要求。各区市以院校为单位组队参赛，不得跨校组队，每校至多1队。每支参赛队由2名选手（设队长1名）和不超过2名指导教师组成。</w:t>
      </w:r>
    </w:p>
    <w:p>
      <w:pPr>
        <w:ind w:firstLine="480"/>
        <w:rPr>
          <w:rFonts w:ascii="仿宋" w:hAnsi="仿宋" w:cs="仿宋"/>
          <w:bCs/>
          <w:szCs w:val="24"/>
        </w:rPr>
      </w:pPr>
      <w:r>
        <w:rPr>
          <w:rFonts w:hint="eastAsia" w:ascii="仿宋" w:hAnsi="仿宋" w:cs="仿宋"/>
          <w:bCs/>
          <w:szCs w:val="24"/>
        </w:rPr>
        <w:t>教师组团体赛参赛要求。区市以学校为单位组织参赛，每校至多1队，每队由2名教师组成。</w:t>
      </w:r>
    </w:p>
    <w:p>
      <w:pPr>
        <w:ind w:firstLine="480"/>
        <w:rPr>
          <w:rFonts w:ascii="仿宋" w:hAnsi="仿宋" w:cs="仿宋"/>
          <w:bCs/>
          <w:szCs w:val="24"/>
        </w:rPr>
      </w:pPr>
      <w:r>
        <w:rPr>
          <w:rFonts w:hint="eastAsia" w:ascii="仿宋" w:hAnsi="仿宋" w:cs="仿宋"/>
          <w:bCs/>
          <w:szCs w:val="24"/>
        </w:rPr>
        <w:t>如有变化</w:t>
      </w:r>
      <w:r>
        <w:rPr>
          <w:rFonts w:ascii="仿宋" w:hAnsi="仿宋" w:cs="仿宋"/>
          <w:bCs/>
          <w:szCs w:val="24"/>
        </w:rPr>
        <w:t>见202</w:t>
      </w:r>
      <w:r>
        <w:rPr>
          <w:rFonts w:hint="eastAsia" w:ascii="仿宋" w:hAnsi="仿宋" w:cs="仿宋"/>
          <w:bCs/>
          <w:szCs w:val="24"/>
        </w:rPr>
        <w:t>3</w:t>
      </w:r>
      <w:r>
        <w:rPr>
          <w:rFonts w:ascii="仿宋" w:hAnsi="仿宋" w:cs="仿宋"/>
          <w:bCs/>
          <w:szCs w:val="24"/>
        </w:rPr>
        <w:t>年</w:t>
      </w:r>
      <w:r>
        <w:rPr>
          <w:rFonts w:hint="eastAsia" w:ascii="仿宋" w:hAnsi="仿宋" w:cs="仿宋"/>
          <w:bCs/>
          <w:szCs w:val="24"/>
        </w:rPr>
        <w:t>江苏</w:t>
      </w:r>
      <w:r>
        <w:rPr>
          <w:rFonts w:ascii="仿宋" w:hAnsi="仿宋" w:cs="仿宋"/>
          <w:bCs/>
          <w:szCs w:val="24"/>
        </w:rPr>
        <w:t>省</w:t>
      </w:r>
      <w:r>
        <w:rPr>
          <w:rFonts w:hint="eastAsia" w:ascii="仿宋" w:hAnsi="仿宋" w:cs="仿宋"/>
          <w:bCs/>
          <w:szCs w:val="24"/>
        </w:rPr>
        <w:t>职业院校技能大赛</w:t>
      </w:r>
      <w:r>
        <w:rPr>
          <w:rFonts w:ascii="仿宋" w:hAnsi="仿宋" w:cs="仿宋"/>
          <w:bCs/>
          <w:szCs w:val="24"/>
        </w:rPr>
        <w:t>通知。</w:t>
      </w:r>
    </w:p>
    <w:p>
      <w:pPr>
        <w:numPr>
          <w:ilvl w:val="0"/>
          <w:numId w:val="1"/>
        </w:numPr>
        <w:ind w:firstLine="482"/>
        <w:rPr>
          <w:rFonts w:ascii="仿宋" w:hAnsi="仿宋" w:cs="仿宋"/>
          <w:b/>
          <w:szCs w:val="24"/>
        </w:rPr>
      </w:pPr>
      <w:r>
        <w:rPr>
          <w:rFonts w:hint="eastAsia" w:ascii="仿宋" w:hAnsi="仿宋" w:cs="仿宋"/>
          <w:b/>
          <w:szCs w:val="24"/>
        </w:rPr>
        <w:t>竞赛流程</w:t>
      </w:r>
    </w:p>
    <w:p>
      <w:pPr>
        <w:ind w:firstLine="480"/>
        <w:rPr>
          <w:rFonts w:ascii="仿宋" w:hAnsi="仿宋" w:cs="仿宋"/>
          <w:szCs w:val="24"/>
        </w:rPr>
      </w:pPr>
      <w:r>
        <w:rPr>
          <w:rFonts w:hint="eastAsia" w:ascii="仿宋" w:hAnsi="仿宋" w:cs="仿宋"/>
          <w:szCs w:val="24"/>
        </w:rPr>
        <w:t>（一）学生组竞赛流程</w:t>
      </w:r>
    </w:p>
    <w:p>
      <w:pPr>
        <w:ind w:firstLine="480"/>
        <w:rPr>
          <w:rFonts w:ascii="仿宋" w:hAnsi="仿宋" w:cs="仿宋"/>
          <w:szCs w:val="24"/>
        </w:rPr>
      </w:pPr>
      <w:r>
        <w:rPr>
          <w:rFonts w:hint="eastAsia" w:ascii="仿宋" w:hAnsi="仿宋" w:cs="仿宋"/>
          <w:szCs w:val="24"/>
        </w:rPr>
        <w:t>1.学生组竞赛流程安排如下表所示：</w:t>
      </w:r>
    </w:p>
    <w:p>
      <w:pPr>
        <w:ind w:firstLine="422"/>
        <w:jc w:val="center"/>
        <w:rPr>
          <w:rFonts w:ascii="仿宋" w:hAnsi="仿宋" w:cs="仿宋"/>
          <w:b/>
          <w:bCs/>
          <w:sz w:val="21"/>
          <w:szCs w:val="21"/>
        </w:rPr>
      </w:pPr>
      <w:bookmarkStart w:id="1" w:name="_Hlk114320763"/>
      <w:r>
        <w:rPr>
          <w:rFonts w:hint="eastAsia" w:ascii="仿宋" w:hAnsi="仿宋" w:cs="仿宋"/>
          <w:b/>
          <w:bCs/>
          <w:sz w:val="21"/>
          <w:szCs w:val="21"/>
        </w:rPr>
        <w:t>物联网技术应用与维护</w:t>
      </w:r>
      <w:bookmarkEnd w:id="1"/>
      <w:r>
        <w:rPr>
          <w:rFonts w:hint="eastAsia" w:ascii="仿宋" w:hAnsi="仿宋" w:cs="仿宋"/>
          <w:b/>
          <w:bCs/>
          <w:sz w:val="21"/>
          <w:szCs w:val="21"/>
        </w:rPr>
        <w:t>赛项学生组竞赛流程安排表</w:t>
      </w:r>
    </w:p>
    <w:tbl>
      <w:tblPr>
        <w:tblStyle w:val="7"/>
        <w:tblW w:w="7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276"/>
        <w:gridCol w:w="2050"/>
        <w:gridCol w:w="3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8" w:type="dxa"/>
            <w:vAlign w:val="center"/>
          </w:tcPr>
          <w:p>
            <w:pPr>
              <w:adjustRightInd w:val="0"/>
              <w:snapToGrid w:val="0"/>
              <w:spacing w:line="240" w:lineRule="auto"/>
              <w:ind w:firstLine="0" w:firstLineChars="0"/>
              <w:jc w:val="center"/>
              <w:rPr>
                <w:rFonts w:cs="Times New Roman"/>
                <w:b/>
                <w:sz w:val="21"/>
                <w:szCs w:val="21"/>
              </w:rPr>
            </w:pPr>
            <w:r>
              <w:rPr>
                <w:rFonts w:hint="eastAsia" w:cs="Times New Roman"/>
                <w:b/>
                <w:sz w:val="21"/>
                <w:szCs w:val="21"/>
              </w:rPr>
              <w:t>日程</w:t>
            </w:r>
          </w:p>
        </w:tc>
        <w:tc>
          <w:tcPr>
            <w:tcW w:w="1276" w:type="dxa"/>
            <w:vAlign w:val="center"/>
          </w:tcPr>
          <w:p>
            <w:pPr>
              <w:adjustRightInd w:val="0"/>
              <w:snapToGrid w:val="0"/>
              <w:spacing w:line="240" w:lineRule="auto"/>
              <w:ind w:firstLine="0" w:firstLineChars="0"/>
              <w:jc w:val="center"/>
              <w:rPr>
                <w:rFonts w:cs="Times New Roman"/>
                <w:b/>
                <w:sz w:val="21"/>
                <w:szCs w:val="21"/>
              </w:rPr>
            </w:pPr>
            <w:r>
              <w:rPr>
                <w:rFonts w:hint="eastAsia" w:cs="Times New Roman"/>
                <w:b/>
                <w:sz w:val="21"/>
                <w:szCs w:val="21"/>
              </w:rPr>
              <w:t>时间</w:t>
            </w:r>
          </w:p>
        </w:tc>
        <w:tc>
          <w:tcPr>
            <w:tcW w:w="2050" w:type="dxa"/>
            <w:vAlign w:val="center"/>
          </w:tcPr>
          <w:p>
            <w:pPr>
              <w:adjustRightInd w:val="0"/>
              <w:snapToGrid w:val="0"/>
              <w:spacing w:line="240" w:lineRule="auto"/>
              <w:ind w:firstLine="0" w:firstLineChars="0"/>
              <w:jc w:val="center"/>
              <w:rPr>
                <w:rFonts w:cs="Times New Roman"/>
                <w:b/>
                <w:sz w:val="21"/>
                <w:szCs w:val="21"/>
              </w:rPr>
            </w:pPr>
            <w:r>
              <w:rPr>
                <w:rFonts w:hint="eastAsia" w:cs="Times New Roman"/>
                <w:b/>
                <w:sz w:val="21"/>
                <w:szCs w:val="21"/>
              </w:rPr>
              <w:t>竞赛环节</w:t>
            </w:r>
          </w:p>
        </w:tc>
        <w:tc>
          <w:tcPr>
            <w:tcW w:w="3820" w:type="dxa"/>
            <w:vAlign w:val="center"/>
          </w:tcPr>
          <w:p>
            <w:pPr>
              <w:adjustRightInd w:val="0"/>
              <w:snapToGrid w:val="0"/>
              <w:spacing w:line="240" w:lineRule="auto"/>
              <w:ind w:firstLine="0" w:firstLineChars="0"/>
              <w:jc w:val="center"/>
              <w:rPr>
                <w:rFonts w:cs="Times New Roman"/>
                <w:b/>
                <w:sz w:val="21"/>
                <w:szCs w:val="21"/>
              </w:rPr>
            </w:pPr>
            <w:r>
              <w:rPr>
                <w:rFonts w:hint="eastAsia" w:cs="Times New Roman"/>
                <w:b/>
                <w:sz w:val="21"/>
                <w:szCs w:val="21"/>
              </w:rPr>
              <w:t>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8" w:type="dxa"/>
            <w:vMerge w:val="restart"/>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报到日</w:t>
            </w:r>
          </w:p>
        </w:tc>
        <w:tc>
          <w:tcPr>
            <w:tcW w:w="1276" w:type="dxa"/>
            <w:vAlign w:val="center"/>
          </w:tcPr>
          <w:p>
            <w:pPr>
              <w:adjustRightInd w:val="0"/>
              <w:snapToGrid w:val="0"/>
              <w:spacing w:line="240" w:lineRule="auto"/>
              <w:ind w:firstLine="0" w:firstLineChars="0"/>
              <w:jc w:val="center"/>
              <w:rPr>
                <w:rFonts w:cs="Times New Roman"/>
                <w:sz w:val="21"/>
                <w:szCs w:val="21"/>
              </w:rPr>
            </w:pPr>
            <w:r>
              <w:rPr>
                <w:rFonts w:cs="Times New Roman"/>
                <w:sz w:val="21"/>
                <w:szCs w:val="21"/>
              </w:rPr>
              <w:t>13:30-14:30</w:t>
            </w:r>
          </w:p>
        </w:tc>
        <w:tc>
          <w:tcPr>
            <w:tcW w:w="2050"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召开领队与指导教师赛项说明会</w:t>
            </w:r>
          </w:p>
        </w:tc>
        <w:tc>
          <w:tcPr>
            <w:tcW w:w="3820"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赛前准备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8" w:type="dxa"/>
            <w:vMerge w:val="continue"/>
            <w:vAlign w:val="center"/>
          </w:tcPr>
          <w:p>
            <w:pPr>
              <w:adjustRightInd w:val="0"/>
              <w:snapToGrid w:val="0"/>
              <w:spacing w:line="240" w:lineRule="auto"/>
              <w:ind w:firstLine="0" w:firstLineChars="0"/>
              <w:jc w:val="center"/>
              <w:rPr>
                <w:rFonts w:cs="Times New Roman"/>
                <w:sz w:val="21"/>
                <w:szCs w:val="21"/>
              </w:rPr>
            </w:pPr>
          </w:p>
        </w:tc>
        <w:tc>
          <w:tcPr>
            <w:tcW w:w="1276"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1</w:t>
            </w:r>
            <w:r>
              <w:rPr>
                <w:rFonts w:cs="Times New Roman"/>
                <w:sz w:val="21"/>
                <w:szCs w:val="21"/>
              </w:rPr>
              <w:t>4</w:t>
            </w:r>
            <w:r>
              <w:rPr>
                <w:rFonts w:hint="eastAsia" w:cs="Times New Roman"/>
                <w:sz w:val="21"/>
                <w:szCs w:val="21"/>
              </w:rPr>
              <w:t>:</w:t>
            </w:r>
            <w:r>
              <w:rPr>
                <w:rFonts w:cs="Times New Roman"/>
                <w:sz w:val="21"/>
                <w:szCs w:val="21"/>
              </w:rPr>
              <w:t>3</w:t>
            </w:r>
            <w:r>
              <w:rPr>
                <w:rFonts w:hint="eastAsia" w:cs="Times New Roman"/>
                <w:sz w:val="21"/>
                <w:szCs w:val="21"/>
              </w:rPr>
              <w:t>0-1</w:t>
            </w:r>
            <w:r>
              <w:rPr>
                <w:rFonts w:cs="Times New Roman"/>
                <w:sz w:val="21"/>
                <w:szCs w:val="21"/>
              </w:rPr>
              <w:t>5</w:t>
            </w:r>
            <w:r>
              <w:rPr>
                <w:rFonts w:hint="eastAsia" w:cs="Times New Roman"/>
                <w:sz w:val="21"/>
                <w:szCs w:val="21"/>
              </w:rPr>
              <w:t>:</w:t>
            </w:r>
            <w:r>
              <w:rPr>
                <w:rFonts w:cs="Times New Roman"/>
                <w:sz w:val="21"/>
                <w:szCs w:val="21"/>
              </w:rPr>
              <w:t>3</w:t>
            </w:r>
            <w:r>
              <w:rPr>
                <w:rFonts w:hint="eastAsia" w:cs="Times New Roman"/>
                <w:sz w:val="21"/>
                <w:szCs w:val="21"/>
              </w:rPr>
              <w:t>0</w:t>
            </w:r>
          </w:p>
        </w:tc>
        <w:tc>
          <w:tcPr>
            <w:tcW w:w="2050"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竞赛入场检录</w:t>
            </w:r>
          </w:p>
        </w:tc>
        <w:tc>
          <w:tcPr>
            <w:tcW w:w="3820" w:type="dxa"/>
            <w:vAlign w:val="center"/>
          </w:tcPr>
          <w:p>
            <w:pPr>
              <w:adjustRightInd w:val="0"/>
              <w:snapToGrid w:val="0"/>
              <w:spacing w:line="240" w:lineRule="auto"/>
              <w:ind w:firstLine="0" w:firstLineChars="0"/>
              <w:jc w:val="center"/>
              <w:rPr>
                <w:rFonts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8" w:type="dxa"/>
            <w:vMerge w:val="continue"/>
            <w:vAlign w:val="center"/>
          </w:tcPr>
          <w:p>
            <w:pPr>
              <w:adjustRightInd w:val="0"/>
              <w:snapToGrid w:val="0"/>
              <w:spacing w:line="240" w:lineRule="auto"/>
              <w:ind w:firstLine="0" w:firstLineChars="0"/>
              <w:jc w:val="center"/>
              <w:rPr>
                <w:rFonts w:cs="Times New Roman"/>
                <w:sz w:val="21"/>
                <w:szCs w:val="21"/>
              </w:rPr>
            </w:pPr>
          </w:p>
        </w:tc>
        <w:tc>
          <w:tcPr>
            <w:tcW w:w="1276"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1</w:t>
            </w:r>
            <w:r>
              <w:rPr>
                <w:rFonts w:cs="Times New Roman"/>
                <w:sz w:val="21"/>
                <w:szCs w:val="21"/>
              </w:rPr>
              <w:t>5</w:t>
            </w:r>
            <w:r>
              <w:rPr>
                <w:rFonts w:hint="eastAsia" w:cs="Times New Roman"/>
                <w:sz w:val="21"/>
                <w:szCs w:val="21"/>
              </w:rPr>
              <w:t>:</w:t>
            </w:r>
            <w:r>
              <w:rPr>
                <w:rFonts w:cs="Times New Roman"/>
                <w:sz w:val="21"/>
                <w:szCs w:val="21"/>
              </w:rPr>
              <w:t>3</w:t>
            </w:r>
            <w:r>
              <w:rPr>
                <w:rFonts w:hint="eastAsia" w:cs="Times New Roman"/>
                <w:sz w:val="21"/>
                <w:szCs w:val="21"/>
              </w:rPr>
              <w:t>0-1</w:t>
            </w:r>
            <w:r>
              <w:rPr>
                <w:rFonts w:cs="Times New Roman"/>
                <w:sz w:val="21"/>
                <w:szCs w:val="21"/>
              </w:rPr>
              <w:t>6</w:t>
            </w:r>
            <w:r>
              <w:rPr>
                <w:rFonts w:hint="eastAsia" w:cs="Times New Roman"/>
                <w:sz w:val="21"/>
                <w:szCs w:val="21"/>
              </w:rPr>
              <w:t>:</w:t>
            </w:r>
            <w:r>
              <w:rPr>
                <w:rFonts w:cs="Times New Roman"/>
                <w:sz w:val="21"/>
                <w:szCs w:val="21"/>
              </w:rPr>
              <w:t>3</w:t>
            </w:r>
            <w:r>
              <w:rPr>
                <w:rFonts w:hint="eastAsia" w:cs="Times New Roman"/>
                <w:sz w:val="21"/>
                <w:szCs w:val="21"/>
              </w:rPr>
              <w:t>0</w:t>
            </w:r>
          </w:p>
        </w:tc>
        <w:tc>
          <w:tcPr>
            <w:tcW w:w="2050"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理论竞赛</w:t>
            </w:r>
          </w:p>
        </w:tc>
        <w:tc>
          <w:tcPr>
            <w:tcW w:w="3820"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学生组和教师组一起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8" w:type="dxa"/>
            <w:vMerge w:val="continue"/>
            <w:vAlign w:val="center"/>
          </w:tcPr>
          <w:p>
            <w:pPr>
              <w:adjustRightInd w:val="0"/>
              <w:snapToGrid w:val="0"/>
              <w:spacing w:line="240" w:lineRule="auto"/>
              <w:ind w:firstLine="0" w:firstLineChars="0"/>
              <w:jc w:val="center"/>
              <w:rPr>
                <w:rFonts w:cs="Times New Roman"/>
                <w:sz w:val="21"/>
                <w:szCs w:val="21"/>
              </w:rPr>
            </w:pPr>
          </w:p>
        </w:tc>
        <w:tc>
          <w:tcPr>
            <w:tcW w:w="1276" w:type="dxa"/>
            <w:vAlign w:val="center"/>
          </w:tcPr>
          <w:p>
            <w:pPr>
              <w:adjustRightInd w:val="0"/>
              <w:snapToGrid w:val="0"/>
              <w:spacing w:line="240" w:lineRule="auto"/>
              <w:ind w:firstLine="0" w:firstLineChars="0"/>
              <w:jc w:val="center"/>
              <w:rPr>
                <w:rFonts w:cs="Times New Roman"/>
                <w:sz w:val="21"/>
                <w:szCs w:val="21"/>
              </w:rPr>
            </w:pPr>
            <w:r>
              <w:rPr>
                <w:rFonts w:cs="Times New Roman"/>
                <w:sz w:val="21"/>
                <w:szCs w:val="21"/>
              </w:rPr>
              <w:t>16:30-17:30</w:t>
            </w:r>
          </w:p>
        </w:tc>
        <w:tc>
          <w:tcPr>
            <w:tcW w:w="2050"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参赛选手熟悉场地</w:t>
            </w:r>
          </w:p>
        </w:tc>
        <w:tc>
          <w:tcPr>
            <w:tcW w:w="3820"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赛前准备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8" w:type="dxa"/>
            <w:vMerge w:val="restart"/>
            <w:vAlign w:val="center"/>
          </w:tcPr>
          <w:p>
            <w:pPr>
              <w:adjustRightInd w:val="0"/>
              <w:snapToGrid w:val="0"/>
              <w:spacing w:line="240" w:lineRule="auto"/>
              <w:ind w:left="-120" w:leftChars="-50" w:right="-120" w:rightChars="-50" w:firstLine="0" w:firstLineChars="0"/>
              <w:jc w:val="center"/>
              <w:rPr>
                <w:rFonts w:cs="Times New Roman"/>
                <w:sz w:val="21"/>
                <w:szCs w:val="21"/>
              </w:rPr>
            </w:pPr>
          </w:p>
          <w:p>
            <w:pPr>
              <w:adjustRightInd w:val="0"/>
              <w:snapToGrid w:val="0"/>
              <w:spacing w:line="240" w:lineRule="auto"/>
              <w:ind w:left="-120" w:leftChars="-50" w:right="-120" w:rightChars="-50" w:firstLine="0" w:firstLineChars="0"/>
              <w:jc w:val="center"/>
              <w:rPr>
                <w:rFonts w:cs="Times New Roman"/>
                <w:sz w:val="21"/>
                <w:szCs w:val="21"/>
              </w:rPr>
            </w:pPr>
            <w:r>
              <w:rPr>
                <w:rFonts w:hint="eastAsia" w:cs="Times New Roman"/>
                <w:sz w:val="21"/>
                <w:szCs w:val="21"/>
              </w:rPr>
              <w:t>学</w:t>
            </w:r>
          </w:p>
          <w:p>
            <w:pPr>
              <w:adjustRightInd w:val="0"/>
              <w:snapToGrid w:val="0"/>
              <w:spacing w:line="240" w:lineRule="auto"/>
              <w:ind w:left="-120" w:leftChars="-50" w:right="-120" w:rightChars="-50" w:firstLine="0" w:firstLineChars="0"/>
              <w:jc w:val="center"/>
              <w:rPr>
                <w:rFonts w:cs="Times New Roman"/>
                <w:sz w:val="21"/>
                <w:szCs w:val="21"/>
              </w:rPr>
            </w:pPr>
          </w:p>
          <w:p>
            <w:pPr>
              <w:adjustRightInd w:val="0"/>
              <w:snapToGrid w:val="0"/>
              <w:spacing w:line="240" w:lineRule="auto"/>
              <w:ind w:left="-120" w:leftChars="-50" w:right="-120" w:rightChars="-50" w:firstLine="0" w:firstLineChars="0"/>
              <w:jc w:val="center"/>
              <w:rPr>
                <w:rFonts w:cs="Times New Roman"/>
                <w:sz w:val="21"/>
                <w:szCs w:val="21"/>
              </w:rPr>
            </w:pPr>
            <w:r>
              <w:rPr>
                <w:rFonts w:hint="eastAsia" w:cs="Times New Roman"/>
                <w:sz w:val="21"/>
                <w:szCs w:val="21"/>
              </w:rPr>
              <w:t>生</w:t>
            </w:r>
          </w:p>
          <w:p>
            <w:pPr>
              <w:adjustRightInd w:val="0"/>
              <w:snapToGrid w:val="0"/>
              <w:spacing w:line="240" w:lineRule="auto"/>
              <w:ind w:left="-120" w:leftChars="-50" w:right="-120" w:rightChars="-50" w:firstLine="0" w:firstLineChars="0"/>
              <w:jc w:val="center"/>
              <w:rPr>
                <w:rFonts w:cs="Times New Roman"/>
                <w:sz w:val="21"/>
                <w:szCs w:val="21"/>
              </w:rPr>
            </w:pPr>
          </w:p>
          <w:p>
            <w:pPr>
              <w:adjustRightInd w:val="0"/>
              <w:snapToGrid w:val="0"/>
              <w:spacing w:line="240" w:lineRule="auto"/>
              <w:ind w:left="-120" w:leftChars="-50" w:right="-120" w:rightChars="-50" w:firstLine="0" w:firstLineChars="0"/>
              <w:jc w:val="center"/>
              <w:rPr>
                <w:rFonts w:cs="Times New Roman"/>
                <w:sz w:val="21"/>
                <w:szCs w:val="21"/>
              </w:rPr>
            </w:pPr>
            <w:r>
              <w:rPr>
                <w:rFonts w:hint="eastAsia" w:cs="Times New Roman"/>
                <w:sz w:val="21"/>
                <w:szCs w:val="21"/>
              </w:rPr>
              <w:t>竞</w:t>
            </w:r>
          </w:p>
          <w:p>
            <w:pPr>
              <w:adjustRightInd w:val="0"/>
              <w:snapToGrid w:val="0"/>
              <w:spacing w:line="240" w:lineRule="auto"/>
              <w:ind w:left="-120" w:leftChars="-50" w:right="-120" w:rightChars="-50" w:firstLine="0" w:firstLineChars="0"/>
              <w:jc w:val="center"/>
              <w:rPr>
                <w:rFonts w:cs="Times New Roman"/>
                <w:sz w:val="21"/>
                <w:szCs w:val="21"/>
              </w:rPr>
            </w:pPr>
          </w:p>
          <w:p>
            <w:pPr>
              <w:adjustRightInd w:val="0"/>
              <w:snapToGrid w:val="0"/>
              <w:spacing w:line="240" w:lineRule="auto"/>
              <w:ind w:left="-120" w:leftChars="-50" w:right="-120" w:rightChars="-50" w:firstLine="0" w:firstLineChars="0"/>
              <w:jc w:val="center"/>
              <w:rPr>
                <w:rFonts w:cs="Times New Roman"/>
                <w:sz w:val="21"/>
                <w:szCs w:val="21"/>
              </w:rPr>
            </w:pPr>
            <w:r>
              <w:rPr>
                <w:rFonts w:hint="eastAsia" w:cs="Times New Roman"/>
                <w:sz w:val="21"/>
                <w:szCs w:val="21"/>
              </w:rPr>
              <w:t>赛</w:t>
            </w:r>
          </w:p>
          <w:p>
            <w:pPr>
              <w:adjustRightInd w:val="0"/>
              <w:snapToGrid w:val="0"/>
              <w:spacing w:line="240" w:lineRule="auto"/>
              <w:ind w:left="-120" w:leftChars="-50" w:right="-120" w:rightChars="-50" w:firstLine="0" w:firstLineChars="0"/>
              <w:jc w:val="center"/>
              <w:rPr>
                <w:rFonts w:cs="Times New Roman"/>
                <w:sz w:val="21"/>
                <w:szCs w:val="21"/>
              </w:rPr>
            </w:pPr>
          </w:p>
          <w:p>
            <w:pPr>
              <w:adjustRightInd w:val="0"/>
              <w:snapToGrid w:val="0"/>
              <w:spacing w:line="240" w:lineRule="auto"/>
              <w:ind w:left="-120" w:leftChars="-50" w:right="-120" w:rightChars="-50" w:firstLine="0" w:firstLineChars="0"/>
              <w:jc w:val="center"/>
              <w:rPr>
                <w:rFonts w:cs="Times New Roman"/>
                <w:sz w:val="21"/>
                <w:szCs w:val="21"/>
              </w:rPr>
            </w:pPr>
            <w:r>
              <w:rPr>
                <w:rFonts w:hint="eastAsia" w:cs="Times New Roman"/>
                <w:sz w:val="21"/>
                <w:szCs w:val="21"/>
              </w:rPr>
              <w:t>日</w:t>
            </w:r>
          </w:p>
          <w:p>
            <w:pPr>
              <w:adjustRightInd w:val="0"/>
              <w:snapToGrid w:val="0"/>
              <w:spacing w:line="240" w:lineRule="auto"/>
              <w:ind w:left="-120" w:leftChars="-50" w:right="-120" w:rightChars="-50" w:firstLine="0" w:firstLineChars="0"/>
              <w:jc w:val="center"/>
              <w:rPr>
                <w:rFonts w:cs="Times New Roman"/>
                <w:sz w:val="21"/>
                <w:szCs w:val="21"/>
              </w:rPr>
            </w:pPr>
          </w:p>
        </w:tc>
        <w:tc>
          <w:tcPr>
            <w:tcW w:w="1276" w:type="dxa"/>
            <w:vAlign w:val="center"/>
          </w:tcPr>
          <w:p>
            <w:pPr>
              <w:adjustRightInd w:val="0"/>
              <w:snapToGrid w:val="0"/>
              <w:spacing w:line="240" w:lineRule="auto"/>
              <w:ind w:left="-120" w:leftChars="-50" w:right="-120" w:rightChars="-50" w:firstLine="0" w:firstLineChars="0"/>
              <w:jc w:val="center"/>
              <w:rPr>
                <w:rFonts w:cs="Times New Roman"/>
                <w:sz w:val="21"/>
                <w:szCs w:val="21"/>
              </w:rPr>
            </w:pPr>
            <w:r>
              <w:rPr>
                <w:rFonts w:hint="eastAsia" w:cs="Times New Roman"/>
                <w:sz w:val="21"/>
                <w:szCs w:val="21"/>
              </w:rPr>
              <w:t>07:</w:t>
            </w:r>
            <w:r>
              <w:rPr>
                <w:rFonts w:cs="Times New Roman"/>
                <w:sz w:val="21"/>
                <w:szCs w:val="21"/>
              </w:rPr>
              <w:t>00</w:t>
            </w:r>
          </w:p>
        </w:tc>
        <w:tc>
          <w:tcPr>
            <w:tcW w:w="2050"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启封赛场</w:t>
            </w:r>
          </w:p>
        </w:tc>
        <w:tc>
          <w:tcPr>
            <w:tcW w:w="3820"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在裁判员和监督员的监督下工作人员启封赛场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8" w:type="dxa"/>
            <w:vMerge w:val="continue"/>
            <w:vAlign w:val="center"/>
          </w:tcPr>
          <w:p>
            <w:pPr>
              <w:adjustRightInd w:val="0"/>
              <w:snapToGrid w:val="0"/>
              <w:spacing w:line="240" w:lineRule="auto"/>
              <w:ind w:left="-120" w:leftChars="-50" w:right="-120" w:rightChars="-50" w:firstLine="0" w:firstLineChars="0"/>
              <w:jc w:val="center"/>
              <w:rPr>
                <w:rFonts w:cs="Times New Roman"/>
                <w:sz w:val="21"/>
                <w:szCs w:val="21"/>
              </w:rPr>
            </w:pPr>
          </w:p>
        </w:tc>
        <w:tc>
          <w:tcPr>
            <w:tcW w:w="1276" w:type="dxa"/>
            <w:vAlign w:val="center"/>
          </w:tcPr>
          <w:p>
            <w:pPr>
              <w:adjustRightInd w:val="0"/>
              <w:snapToGrid w:val="0"/>
              <w:spacing w:line="240" w:lineRule="auto"/>
              <w:ind w:left="-120" w:leftChars="-50" w:right="-120" w:rightChars="-50" w:firstLine="0" w:firstLineChars="0"/>
              <w:jc w:val="center"/>
              <w:rPr>
                <w:rFonts w:cs="Times New Roman"/>
                <w:sz w:val="21"/>
                <w:szCs w:val="21"/>
              </w:rPr>
            </w:pPr>
            <w:r>
              <w:rPr>
                <w:rFonts w:hint="eastAsia" w:cs="Times New Roman"/>
                <w:sz w:val="21"/>
                <w:szCs w:val="21"/>
              </w:rPr>
              <w:t>0</w:t>
            </w:r>
            <w:r>
              <w:rPr>
                <w:rFonts w:cs="Times New Roman"/>
                <w:sz w:val="21"/>
                <w:szCs w:val="21"/>
              </w:rPr>
              <w:t>7</w:t>
            </w:r>
            <w:r>
              <w:rPr>
                <w:rFonts w:hint="eastAsia" w:cs="Times New Roman"/>
                <w:sz w:val="21"/>
                <w:szCs w:val="21"/>
              </w:rPr>
              <w:t>:10-</w:t>
            </w:r>
            <w:r>
              <w:rPr>
                <w:rFonts w:cs="Times New Roman"/>
                <w:sz w:val="21"/>
                <w:szCs w:val="21"/>
              </w:rPr>
              <w:t>0</w:t>
            </w:r>
            <w:r>
              <w:rPr>
                <w:rFonts w:hint="eastAsia" w:cs="Times New Roman"/>
                <w:sz w:val="21"/>
                <w:szCs w:val="21"/>
              </w:rPr>
              <w:t>7</w:t>
            </w:r>
            <w:r>
              <w:rPr>
                <w:rFonts w:cs="Times New Roman"/>
                <w:sz w:val="21"/>
                <w:szCs w:val="21"/>
              </w:rPr>
              <w:t>:2</w:t>
            </w:r>
            <w:r>
              <w:rPr>
                <w:rFonts w:hint="eastAsia" w:cs="Times New Roman"/>
                <w:sz w:val="21"/>
                <w:szCs w:val="21"/>
              </w:rPr>
              <w:t>0</w:t>
            </w:r>
          </w:p>
        </w:tc>
        <w:tc>
          <w:tcPr>
            <w:tcW w:w="2050"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竞赛入场检录</w:t>
            </w:r>
          </w:p>
        </w:tc>
        <w:tc>
          <w:tcPr>
            <w:tcW w:w="3820"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参赛选手凭参赛证接受入场检录确认没有携带竞赛禁止的工具和材料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8" w:type="dxa"/>
            <w:vMerge w:val="continue"/>
            <w:vAlign w:val="center"/>
          </w:tcPr>
          <w:p>
            <w:pPr>
              <w:adjustRightInd w:val="0"/>
              <w:snapToGrid w:val="0"/>
              <w:spacing w:line="240" w:lineRule="auto"/>
              <w:ind w:left="-120" w:leftChars="-50" w:right="-120" w:rightChars="-50" w:firstLine="0" w:firstLineChars="0"/>
              <w:jc w:val="center"/>
              <w:rPr>
                <w:rFonts w:cs="Times New Roman"/>
                <w:sz w:val="21"/>
                <w:szCs w:val="21"/>
              </w:rPr>
            </w:pPr>
          </w:p>
        </w:tc>
        <w:tc>
          <w:tcPr>
            <w:tcW w:w="1276" w:type="dxa"/>
            <w:vAlign w:val="center"/>
          </w:tcPr>
          <w:p>
            <w:pPr>
              <w:adjustRightInd w:val="0"/>
              <w:snapToGrid w:val="0"/>
              <w:spacing w:line="240" w:lineRule="auto"/>
              <w:ind w:left="-120" w:leftChars="-50" w:right="-120" w:rightChars="-50" w:firstLine="0" w:firstLineChars="0"/>
              <w:jc w:val="center"/>
              <w:rPr>
                <w:rFonts w:cs="Times New Roman"/>
                <w:sz w:val="21"/>
                <w:szCs w:val="21"/>
              </w:rPr>
            </w:pPr>
            <w:r>
              <w:rPr>
                <w:rFonts w:hint="eastAsia" w:cs="Times New Roman"/>
                <w:sz w:val="21"/>
                <w:szCs w:val="21"/>
              </w:rPr>
              <w:t>0</w:t>
            </w:r>
            <w:r>
              <w:rPr>
                <w:rFonts w:cs="Times New Roman"/>
                <w:sz w:val="21"/>
                <w:szCs w:val="21"/>
              </w:rPr>
              <w:t>7</w:t>
            </w:r>
            <w:r>
              <w:rPr>
                <w:rFonts w:hint="eastAsia" w:cs="Times New Roman"/>
                <w:sz w:val="21"/>
                <w:szCs w:val="21"/>
              </w:rPr>
              <w:t>:</w:t>
            </w:r>
            <w:r>
              <w:rPr>
                <w:rFonts w:cs="Times New Roman"/>
                <w:sz w:val="21"/>
                <w:szCs w:val="21"/>
              </w:rPr>
              <w:t>2</w:t>
            </w:r>
            <w:r>
              <w:rPr>
                <w:rFonts w:hint="eastAsia" w:cs="Times New Roman"/>
                <w:sz w:val="21"/>
                <w:szCs w:val="21"/>
              </w:rPr>
              <w:t>0-</w:t>
            </w:r>
            <w:r>
              <w:rPr>
                <w:rFonts w:cs="Times New Roman"/>
                <w:sz w:val="21"/>
                <w:szCs w:val="21"/>
              </w:rPr>
              <w:t>07:3</w:t>
            </w:r>
            <w:r>
              <w:rPr>
                <w:rFonts w:hint="eastAsia" w:cs="Times New Roman"/>
                <w:sz w:val="21"/>
                <w:szCs w:val="21"/>
              </w:rPr>
              <w:t>0</w:t>
            </w:r>
          </w:p>
        </w:tc>
        <w:tc>
          <w:tcPr>
            <w:tcW w:w="2050"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竞赛选手进行一次加密</w:t>
            </w:r>
          </w:p>
        </w:tc>
        <w:tc>
          <w:tcPr>
            <w:tcW w:w="3820"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参赛选手持参赛证、身份证和学生证接受工作人员检录并进行一次加密确定参赛编号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8" w:type="dxa"/>
            <w:vMerge w:val="continue"/>
            <w:vAlign w:val="center"/>
          </w:tcPr>
          <w:p>
            <w:pPr>
              <w:adjustRightInd w:val="0"/>
              <w:snapToGrid w:val="0"/>
              <w:spacing w:line="240" w:lineRule="auto"/>
              <w:ind w:left="-120" w:leftChars="-50" w:right="-120" w:rightChars="-50" w:firstLine="0" w:firstLineChars="0"/>
              <w:jc w:val="center"/>
              <w:rPr>
                <w:rFonts w:cs="Times New Roman"/>
                <w:sz w:val="21"/>
                <w:szCs w:val="21"/>
              </w:rPr>
            </w:pPr>
          </w:p>
        </w:tc>
        <w:tc>
          <w:tcPr>
            <w:tcW w:w="1276" w:type="dxa"/>
            <w:vAlign w:val="center"/>
          </w:tcPr>
          <w:p>
            <w:pPr>
              <w:adjustRightInd w:val="0"/>
              <w:snapToGrid w:val="0"/>
              <w:spacing w:line="240" w:lineRule="auto"/>
              <w:ind w:left="-120" w:leftChars="-50" w:right="-120" w:rightChars="-50" w:firstLine="0" w:firstLineChars="0"/>
              <w:jc w:val="center"/>
              <w:rPr>
                <w:rFonts w:cs="Times New Roman"/>
                <w:sz w:val="21"/>
                <w:szCs w:val="21"/>
              </w:rPr>
            </w:pPr>
            <w:r>
              <w:rPr>
                <w:rFonts w:hint="eastAsia" w:cs="Times New Roman"/>
                <w:sz w:val="21"/>
                <w:szCs w:val="21"/>
              </w:rPr>
              <w:t>0</w:t>
            </w:r>
            <w:r>
              <w:rPr>
                <w:rFonts w:cs="Times New Roman"/>
                <w:sz w:val="21"/>
                <w:szCs w:val="21"/>
              </w:rPr>
              <w:t>7</w:t>
            </w:r>
            <w:r>
              <w:rPr>
                <w:rFonts w:hint="eastAsia" w:cs="Times New Roman"/>
                <w:sz w:val="21"/>
                <w:szCs w:val="21"/>
              </w:rPr>
              <w:t>:</w:t>
            </w:r>
            <w:r>
              <w:rPr>
                <w:rFonts w:cs="Times New Roman"/>
                <w:sz w:val="21"/>
                <w:szCs w:val="21"/>
              </w:rPr>
              <w:t>3</w:t>
            </w:r>
            <w:r>
              <w:rPr>
                <w:rFonts w:hint="eastAsia" w:cs="Times New Roman"/>
                <w:sz w:val="21"/>
                <w:szCs w:val="21"/>
              </w:rPr>
              <w:t>0-</w:t>
            </w:r>
            <w:r>
              <w:rPr>
                <w:rFonts w:cs="Times New Roman"/>
                <w:sz w:val="21"/>
                <w:szCs w:val="21"/>
              </w:rPr>
              <w:t>07:4</w:t>
            </w:r>
            <w:r>
              <w:rPr>
                <w:rFonts w:hint="eastAsia" w:cs="Times New Roman"/>
                <w:sz w:val="21"/>
                <w:szCs w:val="21"/>
              </w:rPr>
              <w:t>0</w:t>
            </w:r>
          </w:p>
        </w:tc>
        <w:tc>
          <w:tcPr>
            <w:tcW w:w="2050"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二次抽签加密</w:t>
            </w:r>
          </w:p>
        </w:tc>
        <w:tc>
          <w:tcPr>
            <w:tcW w:w="3820"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参赛选手凭一次加密后的参赛编号进行二次抽签加密确定工位号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8" w:type="dxa"/>
            <w:vMerge w:val="continue"/>
            <w:vAlign w:val="center"/>
          </w:tcPr>
          <w:p>
            <w:pPr>
              <w:adjustRightInd w:val="0"/>
              <w:snapToGrid w:val="0"/>
              <w:spacing w:line="240" w:lineRule="auto"/>
              <w:ind w:left="-120" w:leftChars="-50" w:right="-120" w:rightChars="-50" w:firstLine="0" w:firstLineChars="0"/>
              <w:jc w:val="center"/>
              <w:rPr>
                <w:rFonts w:cs="Times New Roman"/>
                <w:sz w:val="21"/>
                <w:szCs w:val="21"/>
              </w:rPr>
            </w:pPr>
          </w:p>
        </w:tc>
        <w:tc>
          <w:tcPr>
            <w:tcW w:w="1276" w:type="dxa"/>
            <w:vAlign w:val="center"/>
          </w:tcPr>
          <w:p>
            <w:pPr>
              <w:adjustRightInd w:val="0"/>
              <w:snapToGrid w:val="0"/>
              <w:spacing w:line="240" w:lineRule="auto"/>
              <w:ind w:left="-120" w:leftChars="-50" w:right="-120" w:rightChars="-50" w:firstLine="0" w:firstLineChars="0"/>
              <w:jc w:val="center"/>
              <w:rPr>
                <w:rFonts w:cs="Times New Roman"/>
                <w:sz w:val="21"/>
                <w:szCs w:val="21"/>
              </w:rPr>
            </w:pPr>
            <w:r>
              <w:rPr>
                <w:rFonts w:cs="Times New Roman"/>
                <w:sz w:val="21"/>
                <w:szCs w:val="21"/>
              </w:rPr>
              <w:t>07:4</w:t>
            </w:r>
            <w:r>
              <w:rPr>
                <w:rFonts w:hint="eastAsia" w:cs="Times New Roman"/>
                <w:sz w:val="21"/>
                <w:szCs w:val="21"/>
              </w:rPr>
              <w:t>0</w:t>
            </w:r>
            <w:r>
              <w:rPr>
                <w:rFonts w:cs="Times New Roman"/>
                <w:sz w:val="21"/>
                <w:szCs w:val="21"/>
              </w:rPr>
              <w:t>-08:00</w:t>
            </w:r>
          </w:p>
        </w:tc>
        <w:tc>
          <w:tcPr>
            <w:tcW w:w="2050"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竞赛选手入场就位、检查设备和材料、宣读竞赛规则、发布竞赛任务</w:t>
            </w:r>
          </w:p>
        </w:tc>
        <w:tc>
          <w:tcPr>
            <w:tcW w:w="3820"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参赛选手根据工位号由工作人员引导进入竞赛</w:t>
            </w:r>
            <w:r>
              <w:rPr>
                <w:rFonts w:hint="eastAsia"/>
                <w:sz w:val="21"/>
                <w:szCs w:val="21"/>
              </w:rPr>
              <w:t>工位</w:t>
            </w:r>
            <w:r>
              <w:rPr>
                <w:rFonts w:hint="eastAsia" w:cs="Times New Roman"/>
                <w:sz w:val="21"/>
                <w:szCs w:val="21"/>
              </w:rPr>
              <w:t>、检查设备和材料，</w:t>
            </w:r>
            <w:r>
              <w:rPr>
                <w:rFonts w:hint="eastAsia" w:cs="宋体"/>
                <w:kern w:val="0"/>
                <w:sz w:val="21"/>
                <w:szCs w:val="21"/>
              </w:rPr>
              <w:t>裁判宣读竞赛规则及赛场规则，发布竞赛任务并作必要说明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8" w:type="dxa"/>
            <w:vMerge w:val="continue"/>
            <w:vAlign w:val="center"/>
          </w:tcPr>
          <w:p>
            <w:pPr>
              <w:adjustRightInd w:val="0"/>
              <w:snapToGrid w:val="0"/>
              <w:spacing w:line="240" w:lineRule="auto"/>
              <w:ind w:left="-120" w:leftChars="-50" w:right="-120" w:rightChars="-50" w:firstLine="0" w:firstLineChars="0"/>
              <w:jc w:val="center"/>
              <w:rPr>
                <w:rFonts w:cs="Times New Roman"/>
                <w:sz w:val="21"/>
                <w:szCs w:val="21"/>
              </w:rPr>
            </w:pPr>
          </w:p>
        </w:tc>
        <w:tc>
          <w:tcPr>
            <w:tcW w:w="1276" w:type="dxa"/>
            <w:vAlign w:val="center"/>
          </w:tcPr>
          <w:p>
            <w:pPr>
              <w:adjustRightInd w:val="0"/>
              <w:snapToGrid w:val="0"/>
              <w:spacing w:line="240" w:lineRule="auto"/>
              <w:ind w:left="-120" w:leftChars="-50" w:right="-120" w:rightChars="-50" w:firstLine="0" w:firstLineChars="0"/>
              <w:jc w:val="center"/>
              <w:rPr>
                <w:rFonts w:cs="Times New Roman"/>
                <w:sz w:val="21"/>
                <w:szCs w:val="21"/>
              </w:rPr>
            </w:pPr>
            <w:r>
              <w:rPr>
                <w:rFonts w:hint="eastAsia" w:cs="Times New Roman"/>
                <w:sz w:val="21"/>
                <w:szCs w:val="21"/>
              </w:rPr>
              <w:t>0</w:t>
            </w:r>
            <w:r>
              <w:rPr>
                <w:rFonts w:cs="Times New Roman"/>
                <w:sz w:val="21"/>
                <w:szCs w:val="21"/>
              </w:rPr>
              <w:t>8:00</w:t>
            </w:r>
          </w:p>
        </w:tc>
        <w:tc>
          <w:tcPr>
            <w:tcW w:w="2050"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竞赛开始</w:t>
            </w:r>
          </w:p>
        </w:tc>
        <w:tc>
          <w:tcPr>
            <w:tcW w:w="3820"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竞赛开始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8" w:type="dxa"/>
            <w:vMerge w:val="continue"/>
            <w:vAlign w:val="center"/>
          </w:tcPr>
          <w:p>
            <w:pPr>
              <w:adjustRightInd w:val="0"/>
              <w:snapToGrid w:val="0"/>
              <w:spacing w:line="240" w:lineRule="auto"/>
              <w:ind w:left="-120" w:leftChars="-50" w:right="-120" w:rightChars="-50" w:firstLine="0" w:firstLineChars="0"/>
              <w:jc w:val="center"/>
              <w:rPr>
                <w:rFonts w:cs="Times New Roman"/>
                <w:sz w:val="21"/>
                <w:szCs w:val="21"/>
              </w:rPr>
            </w:pPr>
          </w:p>
        </w:tc>
        <w:tc>
          <w:tcPr>
            <w:tcW w:w="1276" w:type="dxa"/>
            <w:vAlign w:val="center"/>
          </w:tcPr>
          <w:p>
            <w:pPr>
              <w:adjustRightInd w:val="0"/>
              <w:snapToGrid w:val="0"/>
              <w:spacing w:line="240" w:lineRule="auto"/>
              <w:ind w:left="-120" w:leftChars="-50" w:right="-120" w:rightChars="-50" w:firstLine="0" w:firstLineChars="0"/>
              <w:jc w:val="center"/>
              <w:rPr>
                <w:rFonts w:cs="Times New Roman"/>
                <w:sz w:val="21"/>
                <w:szCs w:val="21"/>
              </w:rPr>
            </w:pPr>
            <w:r>
              <w:rPr>
                <w:rFonts w:hint="eastAsia" w:cs="Times New Roman"/>
                <w:sz w:val="21"/>
                <w:szCs w:val="21"/>
              </w:rPr>
              <w:t>1</w:t>
            </w:r>
            <w:r>
              <w:rPr>
                <w:rFonts w:cs="Times New Roman"/>
                <w:sz w:val="21"/>
                <w:szCs w:val="21"/>
              </w:rPr>
              <w:t>2:00</w:t>
            </w:r>
          </w:p>
        </w:tc>
        <w:tc>
          <w:tcPr>
            <w:tcW w:w="2050"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竞赛结束</w:t>
            </w:r>
          </w:p>
        </w:tc>
        <w:tc>
          <w:tcPr>
            <w:tcW w:w="3820"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选手保存竞赛成果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8" w:type="dxa"/>
            <w:vMerge w:val="continue"/>
            <w:vAlign w:val="center"/>
          </w:tcPr>
          <w:p>
            <w:pPr>
              <w:adjustRightInd w:val="0"/>
              <w:snapToGrid w:val="0"/>
              <w:spacing w:line="240" w:lineRule="auto"/>
              <w:ind w:left="-120" w:leftChars="-50" w:right="-120" w:rightChars="-50" w:firstLine="0" w:firstLineChars="0"/>
              <w:jc w:val="center"/>
              <w:rPr>
                <w:rFonts w:cs="Times New Roman"/>
                <w:sz w:val="21"/>
                <w:szCs w:val="21"/>
              </w:rPr>
            </w:pPr>
          </w:p>
        </w:tc>
        <w:tc>
          <w:tcPr>
            <w:tcW w:w="1276" w:type="dxa"/>
            <w:vAlign w:val="center"/>
          </w:tcPr>
          <w:p>
            <w:pPr>
              <w:adjustRightInd w:val="0"/>
              <w:snapToGrid w:val="0"/>
              <w:spacing w:line="240" w:lineRule="auto"/>
              <w:ind w:left="-120" w:leftChars="-50" w:right="-120" w:rightChars="-50" w:firstLine="0" w:firstLineChars="0"/>
              <w:jc w:val="center"/>
              <w:rPr>
                <w:rFonts w:cs="Times New Roman"/>
                <w:sz w:val="21"/>
                <w:szCs w:val="21"/>
              </w:rPr>
            </w:pPr>
            <w:r>
              <w:rPr>
                <w:rFonts w:hint="eastAsia" w:cs="Times New Roman"/>
                <w:sz w:val="21"/>
                <w:szCs w:val="21"/>
              </w:rPr>
              <w:t>1</w:t>
            </w:r>
            <w:r>
              <w:rPr>
                <w:rFonts w:cs="Times New Roman"/>
                <w:sz w:val="21"/>
                <w:szCs w:val="21"/>
              </w:rPr>
              <w:t>2:00-14:00</w:t>
            </w:r>
          </w:p>
        </w:tc>
        <w:tc>
          <w:tcPr>
            <w:tcW w:w="2050"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赛项申诉与仲裁</w:t>
            </w:r>
          </w:p>
        </w:tc>
        <w:tc>
          <w:tcPr>
            <w:tcW w:w="3820"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8" w:type="dxa"/>
            <w:vMerge w:val="continue"/>
            <w:vAlign w:val="center"/>
          </w:tcPr>
          <w:p>
            <w:pPr>
              <w:adjustRightInd w:val="0"/>
              <w:snapToGrid w:val="0"/>
              <w:spacing w:line="240" w:lineRule="auto"/>
              <w:ind w:left="-120" w:leftChars="-50" w:right="-120" w:rightChars="-50" w:firstLine="0" w:firstLineChars="0"/>
              <w:jc w:val="center"/>
              <w:rPr>
                <w:rFonts w:cs="Times New Roman"/>
                <w:sz w:val="21"/>
                <w:szCs w:val="21"/>
              </w:rPr>
            </w:pPr>
          </w:p>
        </w:tc>
        <w:tc>
          <w:tcPr>
            <w:tcW w:w="1276" w:type="dxa"/>
            <w:vAlign w:val="center"/>
          </w:tcPr>
          <w:p>
            <w:pPr>
              <w:adjustRightInd w:val="0"/>
              <w:snapToGrid w:val="0"/>
              <w:spacing w:line="240" w:lineRule="auto"/>
              <w:ind w:left="-120" w:leftChars="-50" w:right="-120" w:rightChars="-50" w:firstLine="0" w:firstLineChars="0"/>
              <w:jc w:val="center"/>
              <w:rPr>
                <w:rFonts w:cs="Times New Roman"/>
                <w:sz w:val="21"/>
                <w:szCs w:val="21"/>
              </w:rPr>
            </w:pPr>
            <w:r>
              <w:rPr>
                <w:rFonts w:hint="eastAsia" w:cs="Times New Roman"/>
                <w:sz w:val="21"/>
                <w:szCs w:val="21"/>
              </w:rPr>
              <w:t>1</w:t>
            </w:r>
            <w:r>
              <w:rPr>
                <w:rFonts w:cs="Times New Roman"/>
                <w:sz w:val="21"/>
                <w:szCs w:val="21"/>
              </w:rPr>
              <w:t>4:00-20:00</w:t>
            </w:r>
          </w:p>
        </w:tc>
        <w:tc>
          <w:tcPr>
            <w:tcW w:w="2050"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评分</w:t>
            </w:r>
          </w:p>
        </w:tc>
        <w:tc>
          <w:tcPr>
            <w:tcW w:w="3820"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裁判组对竞赛的各参赛队评分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8" w:type="dxa"/>
            <w:vMerge w:val="continue"/>
            <w:vAlign w:val="center"/>
          </w:tcPr>
          <w:p>
            <w:pPr>
              <w:adjustRightInd w:val="0"/>
              <w:snapToGrid w:val="0"/>
              <w:spacing w:line="240" w:lineRule="auto"/>
              <w:ind w:left="-120" w:leftChars="-50" w:right="-120" w:rightChars="-50" w:firstLine="0" w:firstLineChars="0"/>
              <w:jc w:val="center"/>
              <w:rPr>
                <w:rFonts w:cs="Times New Roman"/>
                <w:sz w:val="21"/>
                <w:szCs w:val="21"/>
              </w:rPr>
            </w:pPr>
          </w:p>
        </w:tc>
        <w:tc>
          <w:tcPr>
            <w:tcW w:w="1276" w:type="dxa"/>
            <w:vAlign w:val="center"/>
          </w:tcPr>
          <w:p>
            <w:pPr>
              <w:adjustRightInd w:val="0"/>
              <w:snapToGrid w:val="0"/>
              <w:spacing w:line="240" w:lineRule="auto"/>
              <w:ind w:left="-120" w:leftChars="-50" w:right="-120" w:rightChars="-50" w:firstLine="0" w:firstLineChars="0"/>
              <w:jc w:val="center"/>
              <w:rPr>
                <w:rFonts w:cs="Times New Roman"/>
                <w:sz w:val="21"/>
                <w:szCs w:val="21"/>
              </w:rPr>
            </w:pPr>
            <w:r>
              <w:rPr>
                <w:rFonts w:hint="eastAsia" w:cs="Times New Roman"/>
                <w:sz w:val="21"/>
                <w:szCs w:val="21"/>
              </w:rPr>
              <w:t>2</w:t>
            </w:r>
            <w:r>
              <w:rPr>
                <w:rFonts w:cs="Times New Roman"/>
                <w:sz w:val="21"/>
                <w:szCs w:val="21"/>
              </w:rPr>
              <w:t>0:00-20:30</w:t>
            </w:r>
          </w:p>
        </w:tc>
        <w:tc>
          <w:tcPr>
            <w:tcW w:w="2050"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解密</w:t>
            </w:r>
          </w:p>
        </w:tc>
        <w:tc>
          <w:tcPr>
            <w:tcW w:w="3820"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对加密信息进行解密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8" w:type="dxa"/>
            <w:vMerge w:val="continue"/>
            <w:vAlign w:val="center"/>
          </w:tcPr>
          <w:p>
            <w:pPr>
              <w:adjustRightInd w:val="0"/>
              <w:snapToGrid w:val="0"/>
              <w:spacing w:line="240" w:lineRule="auto"/>
              <w:ind w:left="-120" w:leftChars="-50" w:right="-120" w:rightChars="-50" w:firstLine="0" w:firstLineChars="0"/>
              <w:jc w:val="center"/>
              <w:rPr>
                <w:rFonts w:cs="Times New Roman"/>
                <w:sz w:val="21"/>
                <w:szCs w:val="21"/>
              </w:rPr>
            </w:pPr>
          </w:p>
        </w:tc>
        <w:tc>
          <w:tcPr>
            <w:tcW w:w="1276" w:type="dxa"/>
            <w:vAlign w:val="center"/>
          </w:tcPr>
          <w:p>
            <w:pPr>
              <w:adjustRightInd w:val="0"/>
              <w:snapToGrid w:val="0"/>
              <w:spacing w:line="240" w:lineRule="auto"/>
              <w:ind w:left="-120" w:leftChars="-50" w:right="-120" w:rightChars="-50" w:firstLine="0" w:firstLineChars="0"/>
              <w:jc w:val="center"/>
              <w:rPr>
                <w:rFonts w:cs="Times New Roman"/>
                <w:sz w:val="21"/>
                <w:szCs w:val="21"/>
              </w:rPr>
            </w:pPr>
            <w:r>
              <w:rPr>
                <w:rFonts w:hint="eastAsia" w:cs="Times New Roman"/>
                <w:sz w:val="21"/>
                <w:szCs w:val="21"/>
              </w:rPr>
              <w:t>2</w:t>
            </w:r>
            <w:r>
              <w:rPr>
                <w:rFonts w:cs="Times New Roman"/>
                <w:sz w:val="21"/>
                <w:szCs w:val="21"/>
              </w:rPr>
              <w:t>0:30-22:30</w:t>
            </w:r>
          </w:p>
        </w:tc>
        <w:tc>
          <w:tcPr>
            <w:tcW w:w="2050"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成绩统计、公示</w:t>
            </w:r>
          </w:p>
        </w:tc>
        <w:tc>
          <w:tcPr>
            <w:tcW w:w="3820" w:type="dxa"/>
            <w:vAlign w:val="center"/>
          </w:tcPr>
          <w:p>
            <w:pPr>
              <w:adjustRightInd w:val="0"/>
              <w:snapToGrid w:val="0"/>
              <w:spacing w:line="240" w:lineRule="auto"/>
              <w:ind w:firstLine="0" w:firstLineChars="0"/>
              <w:jc w:val="center"/>
              <w:rPr>
                <w:rFonts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8" w:type="dxa"/>
            <w:vAlign w:val="center"/>
          </w:tcPr>
          <w:p>
            <w:pPr>
              <w:adjustRightInd w:val="0"/>
              <w:snapToGrid w:val="0"/>
              <w:spacing w:line="240" w:lineRule="auto"/>
              <w:ind w:left="-120" w:leftChars="-50" w:right="-120" w:rightChars="-50" w:firstLine="0" w:firstLineChars="0"/>
              <w:jc w:val="center"/>
              <w:rPr>
                <w:rFonts w:cs="Times New Roman"/>
                <w:sz w:val="21"/>
                <w:szCs w:val="21"/>
              </w:rPr>
            </w:pPr>
            <w:r>
              <w:rPr>
                <w:rFonts w:hint="eastAsia" w:cs="Times New Roman"/>
                <w:sz w:val="21"/>
                <w:szCs w:val="21"/>
              </w:rPr>
              <w:t>成绩发布日</w:t>
            </w:r>
          </w:p>
        </w:tc>
        <w:tc>
          <w:tcPr>
            <w:tcW w:w="1276" w:type="dxa"/>
            <w:vAlign w:val="center"/>
          </w:tcPr>
          <w:p>
            <w:pPr>
              <w:adjustRightInd w:val="0"/>
              <w:snapToGrid w:val="0"/>
              <w:spacing w:line="240" w:lineRule="auto"/>
              <w:ind w:left="-120" w:leftChars="-50" w:right="-120" w:rightChars="-50" w:firstLine="0" w:firstLineChars="0"/>
              <w:jc w:val="center"/>
              <w:rPr>
                <w:rFonts w:cs="Times New Roman"/>
                <w:sz w:val="21"/>
                <w:szCs w:val="21"/>
              </w:rPr>
            </w:pPr>
            <w:r>
              <w:rPr>
                <w:rFonts w:cs="Times New Roman"/>
                <w:sz w:val="21"/>
                <w:szCs w:val="21"/>
              </w:rPr>
              <w:t>09:00-12:00</w:t>
            </w:r>
          </w:p>
        </w:tc>
        <w:tc>
          <w:tcPr>
            <w:tcW w:w="2050"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成绩发布会</w:t>
            </w:r>
          </w:p>
        </w:tc>
        <w:tc>
          <w:tcPr>
            <w:tcW w:w="3820"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公布成绩、赛项点评、颁奖</w:t>
            </w:r>
          </w:p>
        </w:tc>
      </w:tr>
    </w:tbl>
    <w:p>
      <w:pPr>
        <w:ind w:firstLine="480"/>
        <w:rPr>
          <w:rFonts w:ascii="仿宋" w:hAnsi="仿宋" w:cs="仿宋"/>
          <w:szCs w:val="24"/>
        </w:rPr>
      </w:pPr>
      <w:r>
        <w:rPr>
          <w:rFonts w:hint="eastAsia" w:ascii="仿宋" w:hAnsi="仿宋" w:cs="仿宋"/>
          <w:szCs w:val="24"/>
        </w:rPr>
        <w:t>注：如果因场地等原因需要开设多场次比赛，则由裁判组视实际情况调整具体时间安排，报省大赛组委会批准后实施。</w:t>
      </w:r>
    </w:p>
    <w:p>
      <w:pPr>
        <w:ind w:firstLine="480"/>
        <w:rPr>
          <w:rFonts w:ascii="仿宋" w:hAnsi="仿宋" w:cs="仿宋"/>
          <w:szCs w:val="24"/>
        </w:rPr>
      </w:pPr>
      <w:r>
        <w:rPr>
          <w:rFonts w:hint="eastAsia" w:ascii="仿宋" w:hAnsi="仿宋" w:cs="仿宋"/>
          <w:szCs w:val="24"/>
        </w:rPr>
        <w:t>2.学生组竞赛流程图如下图所示：</w:t>
      </w:r>
    </w:p>
    <w:p>
      <w:pPr>
        <w:ind w:firstLine="0" w:firstLineChars="0"/>
        <w:jc w:val="center"/>
        <w:rPr>
          <w:rFonts w:ascii="仿宋" w:hAnsi="仿宋" w:cs="仿宋"/>
          <w:szCs w:val="24"/>
        </w:rPr>
      </w:pPr>
      <w:bookmarkStart w:id="2" w:name="_Hlk90372840"/>
      <w:r>
        <w:object>
          <v:shape id="_x0000_i1025" o:spt="75" type="#_x0000_t75" style="height:456.75pt;width:331.9pt;" o:ole="t" filled="f" o:preferrelative="t" stroked="f" coordsize="21600,21600">
            <v:path/>
            <v:fill on="f" focussize="0,0"/>
            <v:stroke on="f" joinstyle="miter"/>
            <v:imagedata r:id="rId13" o:title=""/>
            <o:lock v:ext="edit" aspectratio="f"/>
            <w10:wrap type="none"/>
            <w10:anchorlock/>
          </v:shape>
          <o:OLEObject Type="Embed" ProgID="Visio.Drawing.15" ShapeID="_x0000_i1025" DrawAspect="Content" ObjectID="_1468075725" r:id="rId12">
            <o:LockedField>false</o:LockedField>
          </o:OLEObject>
        </w:object>
      </w:r>
      <w:bookmarkEnd w:id="2"/>
    </w:p>
    <w:p>
      <w:pPr>
        <w:ind w:firstLine="422"/>
        <w:jc w:val="center"/>
        <w:rPr>
          <w:rFonts w:ascii="仿宋" w:hAnsi="仿宋" w:cs="仿宋"/>
          <w:b/>
          <w:bCs/>
          <w:sz w:val="21"/>
          <w:szCs w:val="21"/>
        </w:rPr>
      </w:pPr>
      <w:r>
        <w:rPr>
          <w:rFonts w:hint="eastAsia" w:ascii="仿宋" w:hAnsi="仿宋" w:cs="仿宋"/>
          <w:b/>
          <w:bCs/>
          <w:sz w:val="21"/>
          <w:szCs w:val="21"/>
        </w:rPr>
        <w:t>学生组物联网技术应用与维护赛项竞赛流程图</w:t>
      </w:r>
    </w:p>
    <w:p>
      <w:pPr>
        <w:ind w:firstLine="480"/>
        <w:rPr>
          <w:rFonts w:ascii="仿宋" w:hAnsi="仿宋" w:cs="仿宋"/>
          <w:color w:val="000000" w:themeColor="text1"/>
          <w:szCs w:val="24"/>
          <w14:textFill>
            <w14:solidFill>
              <w14:schemeClr w14:val="tx1"/>
            </w14:solidFill>
          </w14:textFill>
        </w:rPr>
      </w:pPr>
      <w:r>
        <w:rPr>
          <w:rFonts w:hint="eastAsia" w:ascii="仿宋" w:hAnsi="仿宋" w:cs="仿宋"/>
          <w:color w:val="000000" w:themeColor="text1"/>
          <w:szCs w:val="24"/>
          <w14:textFill>
            <w14:solidFill>
              <w14:schemeClr w14:val="tx1"/>
            </w14:solidFill>
          </w14:textFill>
        </w:rPr>
        <w:t>（二）教师组竞赛流程</w:t>
      </w:r>
    </w:p>
    <w:p>
      <w:pPr>
        <w:ind w:firstLine="480"/>
        <w:rPr>
          <w:rFonts w:ascii="仿宋" w:hAnsi="仿宋" w:cs="仿宋"/>
          <w:szCs w:val="24"/>
        </w:rPr>
      </w:pPr>
      <w:r>
        <w:rPr>
          <w:rFonts w:hint="eastAsia" w:ascii="仿宋" w:hAnsi="仿宋" w:cs="仿宋"/>
          <w:szCs w:val="24"/>
        </w:rPr>
        <w:t>1.教师组竞赛流程安排如下表所示：</w:t>
      </w:r>
    </w:p>
    <w:p>
      <w:pPr>
        <w:ind w:firstLine="422"/>
        <w:jc w:val="center"/>
        <w:rPr>
          <w:rFonts w:ascii="仿宋" w:hAnsi="仿宋" w:cs="仿宋"/>
          <w:b/>
          <w:bCs/>
          <w:sz w:val="21"/>
          <w:szCs w:val="21"/>
        </w:rPr>
      </w:pPr>
      <w:r>
        <w:rPr>
          <w:rFonts w:hint="eastAsia" w:ascii="仿宋" w:hAnsi="仿宋" w:cs="仿宋"/>
          <w:b/>
          <w:bCs/>
          <w:sz w:val="21"/>
          <w:szCs w:val="21"/>
        </w:rPr>
        <w:t>物联网技术应用与维护赛项教师组竞赛流程安排表</w:t>
      </w:r>
    </w:p>
    <w:tbl>
      <w:tblPr>
        <w:tblStyle w:val="7"/>
        <w:tblW w:w="80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1390"/>
        <w:gridCol w:w="2126"/>
        <w:gridCol w:w="3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4" w:type="dxa"/>
            <w:vAlign w:val="center"/>
          </w:tcPr>
          <w:p>
            <w:pPr>
              <w:adjustRightInd w:val="0"/>
              <w:snapToGrid w:val="0"/>
              <w:spacing w:line="240" w:lineRule="auto"/>
              <w:ind w:firstLine="0" w:firstLineChars="0"/>
              <w:jc w:val="center"/>
              <w:rPr>
                <w:rFonts w:cs="Times New Roman"/>
                <w:b/>
                <w:sz w:val="21"/>
                <w:szCs w:val="21"/>
              </w:rPr>
            </w:pPr>
            <w:r>
              <w:rPr>
                <w:rFonts w:hint="eastAsia" w:cs="Times New Roman"/>
                <w:b/>
                <w:sz w:val="21"/>
                <w:szCs w:val="21"/>
              </w:rPr>
              <w:t>日程</w:t>
            </w:r>
          </w:p>
        </w:tc>
        <w:tc>
          <w:tcPr>
            <w:tcW w:w="1390" w:type="dxa"/>
            <w:vAlign w:val="center"/>
          </w:tcPr>
          <w:p>
            <w:pPr>
              <w:adjustRightInd w:val="0"/>
              <w:snapToGrid w:val="0"/>
              <w:spacing w:line="240" w:lineRule="auto"/>
              <w:ind w:firstLine="0" w:firstLineChars="0"/>
              <w:jc w:val="center"/>
              <w:rPr>
                <w:rFonts w:cs="Times New Roman"/>
                <w:b/>
                <w:sz w:val="21"/>
                <w:szCs w:val="21"/>
              </w:rPr>
            </w:pPr>
            <w:r>
              <w:rPr>
                <w:rFonts w:hint="eastAsia" w:cs="Times New Roman"/>
                <w:b/>
                <w:sz w:val="21"/>
                <w:szCs w:val="21"/>
              </w:rPr>
              <w:t>时间</w:t>
            </w:r>
          </w:p>
        </w:tc>
        <w:tc>
          <w:tcPr>
            <w:tcW w:w="2126" w:type="dxa"/>
            <w:vAlign w:val="center"/>
          </w:tcPr>
          <w:p>
            <w:pPr>
              <w:adjustRightInd w:val="0"/>
              <w:snapToGrid w:val="0"/>
              <w:spacing w:line="240" w:lineRule="auto"/>
              <w:ind w:firstLine="0" w:firstLineChars="0"/>
              <w:jc w:val="center"/>
              <w:rPr>
                <w:rFonts w:cs="Times New Roman"/>
                <w:b/>
                <w:sz w:val="21"/>
                <w:szCs w:val="21"/>
              </w:rPr>
            </w:pPr>
            <w:r>
              <w:rPr>
                <w:rFonts w:hint="eastAsia" w:cs="Times New Roman"/>
                <w:b/>
                <w:sz w:val="21"/>
                <w:szCs w:val="21"/>
              </w:rPr>
              <w:t>竞赛环节</w:t>
            </w:r>
          </w:p>
        </w:tc>
        <w:tc>
          <w:tcPr>
            <w:tcW w:w="3787" w:type="dxa"/>
            <w:vAlign w:val="center"/>
          </w:tcPr>
          <w:p>
            <w:pPr>
              <w:adjustRightInd w:val="0"/>
              <w:snapToGrid w:val="0"/>
              <w:spacing w:line="240" w:lineRule="auto"/>
              <w:ind w:firstLine="0" w:firstLineChars="0"/>
              <w:jc w:val="center"/>
              <w:rPr>
                <w:rFonts w:cs="Times New Roman"/>
                <w:b/>
                <w:sz w:val="21"/>
                <w:szCs w:val="21"/>
              </w:rPr>
            </w:pPr>
            <w:r>
              <w:rPr>
                <w:rFonts w:hint="eastAsia" w:cs="Times New Roman"/>
                <w:b/>
                <w:sz w:val="21"/>
                <w:szCs w:val="21"/>
              </w:rPr>
              <w:t>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4" w:type="dxa"/>
            <w:vMerge w:val="restart"/>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报到日</w:t>
            </w:r>
          </w:p>
        </w:tc>
        <w:tc>
          <w:tcPr>
            <w:tcW w:w="1390" w:type="dxa"/>
            <w:vAlign w:val="center"/>
          </w:tcPr>
          <w:p>
            <w:pPr>
              <w:adjustRightInd w:val="0"/>
              <w:snapToGrid w:val="0"/>
              <w:spacing w:line="240" w:lineRule="auto"/>
              <w:ind w:firstLine="0" w:firstLineChars="0"/>
              <w:jc w:val="center"/>
              <w:rPr>
                <w:rFonts w:cs="Times New Roman"/>
                <w:sz w:val="21"/>
                <w:szCs w:val="21"/>
              </w:rPr>
            </w:pPr>
            <w:r>
              <w:rPr>
                <w:rFonts w:cs="Times New Roman"/>
                <w:sz w:val="21"/>
                <w:szCs w:val="21"/>
              </w:rPr>
              <w:t>13:30-14:30</w:t>
            </w:r>
          </w:p>
        </w:tc>
        <w:tc>
          <w:tcPr>
            <w:tcW w:w="2126"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召开领队与指导教师赛项说明会</w:t>
            </w:r>
          </w:p>
        </w:tc>
        <w:tc>
          <w:tcPr>
            <w:tcW w:w="3787"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赛前准备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4" w:type="dxa"/>
            <w:vMerge w:val="continue"/>
            <w:vAlign w:val="center"/>
          </w:tcPr>
          <w:p>
            <w:pPr>
              <w:adjustRightInd w:val="0"/>
              <w:snapToGrid w:val="0"/>
              <w:spacing w:line="240" w:lineRule="auto"/>
              <w:ind w:firstLine="0" w:firstLineChars="0"/>
              <w:jc w:val="center"/>
              <w:rPr>
                <w:rFonts w:cs="Times New Roman"/>
                <w:sz w:val="21"/>
                <w:szCs w:val="21"/>
              </w:rPr>
            </w:pPr>
          </w:p>
        </w:tc>
        <w:tc>
          <w:tcPr>
            <w:tcW w:w="1390"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1</w:t>
            </w:r>
            <w:r>
              <w:rPr>
                <w:rFonts w:cs="Times New Roman"/>
                <w:sz w:val="21"/>
                <w:szCs w:val="21"/>
              </w:rPr>
              <w:t>4</w:t>
            </w:r>
            <w:r>
              <w:rPr>
                <w:rFonts w:hint="eastAsia" w:cs="Times New Roman"/>
                <w:sz w:val="21"/>
                <w:szCs w:val="21"/>
              </w:rPr>
              <w:t>:</w:t>
            </w:r>
            <w:r>
              <w:rPr>
                <w:rFonts w:cs="Times New Roman"/>
                <w:sz w:val="21"/>
                <w:szCs w:val="21"/>
              </w:rPr>
              <w:t>3</w:t>
            </w:r>
            <w:r>
              <w:rPr>
                <w:rFonts w:hint="eastAsia" w:cs="Times New Roman"/>
                <w:sz w:val="21"/>
                <w:szCs w:val="21"/>
              </w:rPr>
              <w:t>0-1</w:t>
            </w:r>
            <w:r>
              <w:rPr>
                <w:rFonts w:cs="Times New Roman"/>
                <w:sz w:val="21"/>
                <w:szCs w:val="21"/>
              </w:rPr>
              <w:t>5</w:t>
            </w:r>
            <w:r>
              <w:rPr>
                <w:rFonts w:hint="eastAsia" w:cs="Times New Roman"/>
                <w:sz w:val="21"/>
                <w:szCs w:val="21"/>
              </w:rPr>
              <w:t>:</w:t>
            </w:r>
            <w:r>
              <w:rPr>
                <w:rFonts w:cs="Times New Roman"/>
                <w:sz w:val="21"/>
                <w:szCs w:val="21"/>
              </w:rPr>
              <w:t>3</w:t>
            </w:r>
            <w:r>
              <w:rPr>
                <w:rFonts w:hint="eastAsia" w:cs="Times New Roman"/>
                <w:sz w:val="21"/>
                <w:szCs w:val="21"/>
              </w:rPr>
              <w:t>0</w:t>
            </w:r>
          </w:p>
        </w:tc>
        <w:tc>
          <w:tcPr>
            <w:tcW w:w="2126"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竞赛入场检录</w:t>
            </w:r>
          </w:p>
        </w:tc>
        <w:tc>
          <w:tcPr>
            <w:tcW w:w="3787" w:type="dxa"/>
            <w:vAlign w:val="center"/>
          </w:tcPr>
          <w:p>
            <w:pPr>
              <w:adjustRightInd w:val="0"/>
              <w:snapToGrid w:val="0"/>
              <w:spacing w:line="240" w:lineRule="auto"/>
              <w:ind w:firstLine="0" w:firstLineChars="0"/>
              <w:jc w:val="center"/>
              <w:rPr>
                <w:rFonts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4" w:type="dxa"/>
            <w:vMerge w:val="continue"/>
            <w:vAlign w:val="center"/>
          </w:tcPr>
          <w:p>
            <w:pPr>
              <w:adjustRightInd w:val="0"/>
              <w:snapToGrid w:val="0"/>
              <w:spacing w:line="240" w:lineRule="auto"/>
              <w:ind w:firstLine="0" w:firstLineChars="0"/>
              <w:jc w:val="center"/>
              <w:rPr>
                <w:rFonts w:cs="Times New Roman"/>
                <w:sz w:val="21"/>
                <w:szCs w:val="21"/>
              </w:rPr>
            </w:pPr>
          </w:p>
        </w:tc>
        <w:tc>
          <w:tcPr>
            <w:tcW w:w="1390"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1</w:t>
            </w:r>
            <w:r>
              <w:rPr>
                <w:rFonts w:cs="Times New Roman"/>
                <w:sz w:val="21"/>
                <w:szCs w:val="21"/>
              </w:rPr>
              <w:t>5</w:t>
            </w:r>
            <w:r>
              <w:rPr>
                <w:rFonts w:hint="eastAsia" w:cs="Times New Roman"/>
                <w:sz w:val="21"/>
                <w:szCs w:val="21"/>
              </w:rPr>
              <w:t>:</w:t>
            </w:r>
            <w:r>
              <w:rPr>
                <w:rFonts w:cs="Times New Roman"/>
                <w:sz w:val="21"/>
                <w:szCs w:val="21"/>
              </w:rPr>
              <w:t>3</w:t>
            </w:r>
            <w:r>
              <w:rPr>
                <w:rFonts w:hint="eastAsia" w:cs="Times New Roman"/>
                <w:sz w:val="21"/>
                <w:szCs w:val="21"/>
              </w:rPr>
              <w:t>0-1</w:t>
            </w:r>
            <w:r>
              <w:rPr>
                <w:rFonts w:cs="Times New Roman"/>
                <w:sz w:val="21"/>
                <w:szCs w:val="21"/>
              </w:rPr>
              <w:t>6</w:t>
            </w:r>
            <w:r>
              <w:rPr>
                <w:rFonts w:hint="eastAsia" w:cs="Times New Roman"/>
                <w:sz w:val="21"/>
                <w:szCs w:val="21"/>
              </w:rPr>
              <w:t>:</w:t>
            </w:r>
            <w:r>
              <w:rPr>
                <w:rFonts w:cs="Times New Roman"/>
                <w:sz w:val="21"/>
                <w:szCs w:val="21"/>
              </w:rPr>
              <w:t>3</w:t>
            </w:r>
            <w:r>
              <w:rPr>
                <w:rFonts w:hint="eastAsia" w:cs="Times New Roman"/>
                <w:sz w:val="21"/>
                <w:szCs w:val="21"/>
              </w:rPr>
              <w:t>0</w:t>
            </w:r>
          </w:p>
        </w:tc>
        <w:tc>
          <w:tcPr>
            <w:tcW w:w="2126"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理论竞赛</w:t>
            </w:r>
          </w:p>
        </w:tc>
        <w:tc>
          <w:tcPr>
            <w:tcW w:w="3787"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学生组和教师组一起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4" w:type="dxa"/>
            <w:vMerge w:val="continue"/>
            <w:vAlign w:val="center"/>
          </w:tcPr>
          <w:p>
            <w:pPr>
              <w:adjustRightInd w:val="0"/>
              <w:snapToGrid w:val="0"/>
              <w:spacing w:line="240" w:lineRule="auto"/>
              <w:ind w:firstLine="0" w:firstLineChars="0"/>
              <w:jc w:val="center"/>
              <w:rPr>
                <w:rFonts w:cs="Times New Roman"/>
                <w:sz w:val="21"/>
                <w:szCs w:val="21"/>
              </w:rPr>
            </w:pPr>
          </w:p>
        </w:tc>
        <w:tc>
          <w:tcPr>
            <w:tcW w:w="1390" w:type="dxa"/>
            <w:vAlign w:val="center"/>
          </w:tcPr>
          <w:p>
            <w:pPr>
              <w:adjustRightInd w:val="0"/>
              <w:snapToGrid w:val="0"/>
              <w:spacing w:line="240" w:lineRule="auto"/>
              <w:ind w:firstLine="0" w:firstLineChars="0"/>
              <w:jc w:val="center"/>
              <w:rPr>
                <w:rFonts w:cs="Times New Roman"/>
                <w:sz w:val="21"/>
                <w:szCs w:val="21"/>
              </w:rPr>
            </w:pPr>
            <w:r>
              <w:rPr>
                <w:rFonts w:cs="Times New Roman"/>
                <w:sz w:val="21"/>
                <w:szCs w:val="21"/>
              </w:rPr>
              <w:t>16:30-17:30</w:t>
            </w:r>
          </w:p>
        </w:tc>
        <w:tc>
          <w:tcPr>
            <w:tcW w:w="2126"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参赛选手熟悉场地</w:t>
            </w:r>
          </w:p>
        </w:tc>
        <w:tc>
          <w:tcPr>
            <w:tcW w:w="3787"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赛前准备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4" w:type="dxa"/>
            <w:vMerge w:val="restart"/>
            <w:vAlign w:val="center"/>
          </w:tcPr>
          <w:p>
            <w:pPr>
              <w:adjustRightInd w:val="0"/>
              <w:snapToGrid w:val="0"/>
              <w:spacing w:line="240" w:lineRule="auto"/>
              <w:ind w:left="-120" w:leftChars="-50" w:right="-120" w:rightChars="-50" w:firstLine="0" w:firstLineChars="0"/>
              <w:jc w:val="center"/>
              <w:rPr>
                <w:rFonts w:cs="Times New Roman"/>
                <w:sz w:val="21"/>
                <w:szCs w:val="21"/>
              </w:rPr>
            </w:pPr>
          </w:p>
          <w:p>
            <w:pPr>
              <w:adjustRightInd w:val="0"/>
              <w:snapToGrid w:val="0"/>
              <w:spacing w:line="240" w:lineRule="auto"/>
              <w:ind w:left="-120" w:leftChars="-50" w:right="-120" w:rightChars="-50" w:firstLine="0" w:firstLineChars="0"/>
              <w:jc w:val="center"/>
              <w:rPr>
                <w:rFonts w:cs="Times New Roman"/>
                <w:sz w:val="21"/>
                <w:szCs w:val="21"/>
              </w:rPr>
            </w:pPr>
            <w:r>
              <w:rPr>
                <w:rFonts w:hint="eastAsia" w:cs="Times New Roman"/>
                <w:sz w:val="21"/>
                <w:szCs w:val="21"/>
              </w:rPr>
              <w:t>教</w:t>
            </w:r>
          </w:p>
          <w:p>
            <w:pPr>
              <w:adjustRightInd w:val="0"/>
              <w:snapToGrid w:val="0"/>
              <w:spacing w:line="240" w:lineRule="auto"/>
              <w:ind w:left="-120" w:leftChars="-50" w:right="-120" w:rightChars="-50" w:firstLine="0" w:firstLineChars="0"/>
              <w:jc w:val="center"/>
              <w:rPr>
                <w:rFonts w:cs="Times New Roman"/>
                <w:sz w:val="21"/>
                <w:szCs w:val="21"/>
              </w:rPr>
            </w:pPr>
          </w:p>
          <w:p>
            <w:pPr>
              <w:adjustRightInd w:val="0"/>
              <w:snapToGrid w:val="0"/>
              <w:spacing w:line="240" w:lineRule="auto"/>
              <w:ind w:left="-120" w:leftChars="-50" w:right="-120" w:rightChars="-50" w:firstLine="0" w:firstLineChars="0"/>
              <w:jc w:val="center"/>
              <w:rPr>
                <w:rFonts w:cs="Times New Roman"/>
                <w:sz w:val="21"/>
                <w:szCs w:val="21"/>
              </w:rPr>
            </w:pPr>
            <w:r>
              <w:rPr>
                <w:rFonts w:hint="eastAsia" w:cs="Times New Roman"/>
                <w:sz w:val="21"/>
                <w:szCs w:val="21"/>
              </w:rPr>
              <w:t>师</w:t>
            </w:r>
          </w:p>
          <w:p>
            <w:pPr>
              <w:adjustRightInd w:val="0"/>
              <w:snapToGrid w:val="0"/>
              <w:spacing w:line="240" w:lineRule="auto"/>
              <w:ind w:left="-120" w:leftChars="-50" w:right="-120" w:rightChars="-50" w:firstLine="0" w:firstLineChars="0"/>
              <w:jc w:val="center"/>
              <w:rPr>
                <w:rFonts w:cs="Times New Roman"/>
                <w:sz w:val="21"/>
                <w:szCs w:val="21"/>
              </w:rPr>
            </w:pPr>
          </w:p>
          <w:p>
            <w:pPr>
              <w:adjustRightInd w:val="0"/>
              <w:snapToGrid w:val="0"/>
              <w:spacing w:line="240" w:lineRule="auto"/>
              <w:ind w:left="-120" w:leftChars="-50" w:right="-120" w:rightChars="-50" w:firstLine="0" w:firstLineChars="0"/>
              <w:jc w:val="center"/>
              <w:rPr>
                <w:rFonts w:cs="Times New Roman"/>
                <w:sz w:val="21"/>
                <w:szCs w:val="21"/>
              </w:rPr>
            </w:pPr>
            <w:r>
              <w:rPr>
                <w:rFonts w:hint="eastAsia" w:cs="Times New Roman"/>
                <w:sz w:val="21"/>
                <w:szCs w:val="21"/>
              </w:rPr>
              <w:t>竞</w:t>
            </w:r>
          </w:p>
          <w:p>
            <w:pPr>
              <w:adjustRightInd w:val="0"/>
              <w:snapToGrid w:val="0"/>
              <w:spacing w:line="240" w:lineRule="auto"/>
              <w:ind w:left="-120" w:leftChars="-50" w:right="-120" w:rightChars="-50" w:firstLine="0" w:firstLineChars="0"/>
              <w:jc w:val="center"/>
              <w:rPr>
                <w:rFonts w:cs="Times New Roman"/>
                <w:sz w:val="21"/>
                <w:szCs w:val="21"/>
              </w:rPr>
            </w:pPr>
          </w:p>
          <w:p>
            <w:pPr>
              <w:adjustRightInd w:val="0"/>
              <w:snapToGrid w:val="0"/>
              <w:spacing w:line="240" w:lineRule="auto"/>
              <w:ind w:left="-120" w:leftChars="-50" w:right="-120" w:rightChars="-50" w:firstLine="0" w:firstLineChars="0"/>
              <w:jc w:val="center"/>
              <w:rPr>
                <w:rFonts w:cs="Times New Roman"/>
                <w:sz w:val="21"/>
                <w:szCs w:val="21"/>
              </w:rPr>
            </w:pPr>
            <w:r>
              <w:rPr>
                <w:rFonts w:hint="eastAsia" w:cs="Times New Roman"/>
                <w:sz w:val="21"/>
                <w:szCs w:val="21"/>
              </w:rPr>
              <w:t>赛</w:t>
            </w:r>
          </w:p>
          <w:p>
            <w:pPr>
              <w:adjustRightInd w:val="0"/>
              <w:snapToGrid w:val="0"/>
              <w:spacing w:line="240" w:lineRule="auto"/>
              <w:ind w:left="-120" w:leftChars="-50" w:right="-120" w:rightChars="-50" w:firstLine="0" w:firstLineChars="0"/>
              <w:jc w:val="center"/>
              <w:rPr>
                <w:rFonts w:cs="Times New Roman"/>
                <w:sz w:val="21"/>
                <w:szCs w:val="21"/>
              </w:rPr>
            </w:pPr>
          </w:p>
          <w:p>
            <w:pPr>
              <w:adjustRightInd w:val="0"/>
              <w:snapToGrid w:val="0"/>
              <w:spacing w:line="240" w:lineRule="auto"/>
              <w:ind w:left="-120" w:leftChars="-50" w:right="-120" w:rightChars="-50" w:firstLine="0" w:firstLineChars="0"/>
              <w:jc w:val="center"/>
              <w:rPr>
                <w:rFonts w:cs="Times New Roman"/>
                <w:sz w:val="21"/>
                <w:szCs w:val="21"/>
              </w:rPr>
            </w:pPr>
            <w:r>
              <w:rPr>
                <w:rFonts w:hint="eastAsia" w:cs="Times New Roman"/>
                <w:sz w:val="21"/>
                <w:szCs w:val="21"/>
              </w:rPr>
              <w:t>日</w:t>
            </w:r>
          </w:p>
          <w:p>
            <w:pPr>
              <w:adjustRightInd w:val="0"/>
              <w:snapToGrid w:val="0"/>
              <w:spacing w:line="240" w:lineRule="auto"/>
              <w:ind w:left="-120" w:leftChars="-50" w:right="-120" w:rightChars="-50" w:firstLine="0" w:firstLineChars="0"/>
              <w:jc w:val="center"/>
              <w:rPr>
                <w:rFonts w:cs="Times New Roman"/>
                <w:sz w:val="21"/>
                <w:szCs w:val="21"/>
              </w:rPr>
            </w:pPr>
          </w:p>
        </w:tc>
        <w:tc>
          <w:tcPr>
            <w:tcW w:w="1390" w:type="dxa"/>
            <w:vAlign w:val="center"/>
          </w:tcPr>
          <w:p>
            <w:pPr>
              <w:adjustRightInd w:val="0"/>
              <w:snapToGrid w:val="0"/>
              <w:spacing w:line="240" w:lineRule="auto"/>
              <w:ind w:left="-120" w:leftChars="-50" w:right="-120" w:rightChars="-50" w:firstLine="0" w:firstLineChars="0"/>
              <w:jc w:val="center"/>
              <w:rPr>
                <w:rFonts w:cs="Times New Roman"/>
                <w:sz w:val="21"/>
                <w:szCs w:val="21"/>
              </w:rPr>
            </w:pPr>
            <w:r>
              <w:rPr>
                <w:rFonts w:hint="eastAsia" w:cs="Times New Roman"/>
                <w:sz w:val="21"/>
                <w:szCs w:val="21"/>
              </w:rPr>
              <w:t>07:</w:t>
            </w:r>
            <w:r>
              <w:rPr>
                <w:rFonts w:cs="Times New Roman"/>
                <w:sz w:val="21"/>
                <w:szCs w:val="21"/>
              </w:rPr>
              <w:t>00</w:t>
            </w:r>
          </w:p>
        </w:tc>
        <w:tc>
          <w:tcPr>
            <w:tcW w:w="2126"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启封赛场</w:t>
            </w:r>
          </w:p>
        </w:tc>
        <w:tc>
          <w:tcPr>
            <w:tcW w:w="3787"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在裁判员和监督员的监督下工作人员启封赛场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4" w:type="dxa"/>
            <w:vMerge w:val="continue"/>
            <w:vAlign w:val="center"/>
          </w:tcPr>
          <w:p>
            <w:pPr>
              <w:adjustRightInd w:val="0"/>
              <w:snapToGrid w:val="0"/>
              <w:spacing w:line="240" w:lineRule="auto"/>
              <w:ind w:left="-120" w:leftChars="-50" w:right="-120" w:rightChars="-50" w:firstLine="0" w:firstLineChars="0"/>
              <w:jc w:val="center"/>
              <w:rPr>
                <w:rFonts w:cs="Times New Roman"/>
                <w:sz w:val="21"/>
                <w:szCs w:val="21"/>
              </w:rPr>
            </w:pPr>
          </w:p>
        </w:tc>
        <w:tc>
          <w:tcPr>
            <w:tcW w:w="1390" w:type="dxa"/>
            <w:vAlign w:val="center"/>
          </w:tcPr>
          <w:p>
            <w:pPr>
              <w:adjustRightInd w:val="0"/>
              <w:snapToGrid w:val="0"/>
              <w:spacing w:line="240" w:lineRule="auto"/>
              <w:ind w:left="-120" w:leftChars="-50" w:right="-120" w:rightChars="-50" w:firstLine="0" w:firstLineChars="0"/>
              <w:jc w:val="center"/>
              <w:rPr>
                <w:rFonts w:cs="Times New Roman"/>
                <w:sz w:val="21"/>
                <w:szCs w:val="21"/>
              </w:rPr>
            </w:pPr>
            <w:r>
              <w:rPr>
                <w:rFonts w:hint="eastAsia" w:cs="Times New Roman"/>
                <w:sz w:val="21"/>
                <w:szCs w:val="21"/>
              </w:rPr>
              <w:t>0</w:t>
            </w:r>
            <w:r>
              <w:rPr>
                <w:rFonts w:cs="Times New Roman"/>
                <w:sz w:val="21"/>
                <w:szCs w:val="21"/>
              </w:rPr>
              <w:t>7</w:t>
            </w:r>
            <w:r>
              <w:rPr>
                <w:rFonts w:hint="eastAsia" w:cs="Times New Roman"/>
                <w:sz w:val="21"/>
                <w:szCs w:val="21"/>
              </w:rPr>
              <w:t>:10-</w:t>
            </w:r>
            <w:r>
              <w:rPr>
                <w:rFonts w:cs="Times New Roman"/>
                <w:sz w:val="21"/>
                <w:szCs w:val="21"/>
              </w:rPr>
              <w:t>0</w:t>
            </w:r>
            <w:r>
              <w:rPr>
                <w:rFonts w:hint="eastAsia" w:cs="Times New Roman"/>
                <w:sz w:val="21"/>
                <w:szCs w:val="21"/>
              </w:rPr>
              <w:t>7</w:t>
            </w:r>
            <w:r>
              <w:rPr>
                <w:rFonts w:cs="Times New Roman"/>
                <w:sz w:val="21"/>
                <w:szCs w:val="21"/>
              </w:rPr>
              <w:t>:2</w:t>
            </w:r>
            <w:r>
              <w:rPr>
                <w:rFonts w:hint="eastAsia" w:cs="Times New Roman"/>
                <w:sz w:val="21"/>
                <w:szCs w:val="21"/>
              </w:rPr>
              <w:t>0</w:t>
            </w:r>
          </w:p>
        </w:tc>
        <w:tc>
          <w:tcPr>
            <w:tcW w:w="2126"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竞赛入场检录</w:t>
            </w:r>
          </w:p>
        </w:tc>
        <w:tc>
          <w:tcPr>
            <w:tcW w:w="3787"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参赛选手凭参赛证接受入场检录确认没有携带竞赛禁止的工具和材料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4" w:type="dxa"/>
            <w:vMerge w:val="continue"/>
            <w:vAlign w:val="center"/>
          </w:tcPr>
          <w:p>
            <w:pPr>
              <w:adjustRightInd w:val="0"/>
              <w:snapToGrid w:val="0"/>
              <w:spacing w:line="240" w:lineRule="auto"/>
              <w:ind w:left="-120" w:leftChars="-50" w:right="-120" w:rightChars="-50" w:firstLine="0" w:firstLineChars="0"/>
              <w:jc w:val="center"/>
              <w:rPr>
                <w:rFonts w:cs="Times New Roman"/>
                <w:sz w:val="21"/>
                <w:szCs w:val="21"/>
              </w:rPr>
            </w:pPr>
          </w:p>
        </w:tc>
        <w:tc>
          <w:tcPr>
            <w:tcW w:w="1390" w:type="dxa"/>
            <w:vAlign w:val="center"/>
          </w:tcPr>
          <w:p>
            <w:pPr>
              <w:adjustRightInd w:val="0"/>
              <w:snapToGrid w:val="0"/>
              <w:spacing w:line="240" w:lineRule="auto"/>
              <w:ind w:left="-120" w:leftChars="-50" w:right="-120" w:rightChars="-50" w:firstLine="0" w:firstLineChars="0"/>
              <w:jc w:val="center"/>
              <w:rPr>
                <w:rFonts w:cs="Times New Roman"/>
                <w:sz w:val="21"/>
                <w:szCs w:val="21"/>
              </w:rPr>
            </w:pPr>
            <w:r>
              <w:rPr>
                <w:rFonts w:hint="eastAsia" w:cs="Times New Roman"/>
                <w:sz w:val="21"/>
                <w:szCs w:val="21"/>
              </w:rPr>
              <w:t>0</w:t>
            </w:r>
            <w:r>
              <w:rPr>
                <w:rFonts w:cs="Times New Roman"/>
                <w:sz w:val="21"/>
                <w:szCs w:val="21"/>
              </w:rPr>
              <w:t>7</w:t>
            </w:r>
            <w:r>
              <w:rPr>
                <w:rFonts w:hint="eastAsia" w:cs="Times New Roman"/>
                <w:sz w:val="21"/>
                <w:szCs w:val="21"/>
              </w:rPr>
              <w:t>:</w:t>
            </w:r>
            <w:r>
              <w:rPr>
                <w:rFonts w:cs="Times New Roman"/>
                <w:sz w:val="21"/>
                <w:szCs w:val="21"/>
              </w:rPr>
              <w:t>2</w:t>
            </w:r>
            <w:r>
              <w:rPr>
                <w:rFonts w:hint="eastAsia" w:cs="Times New Roman"/>
                <w:sz w:val="21"/>
                <w:szCs w:val="21"/>
              </w:rPr>
              <w:t>0-</w:t>
            </w:r>
            <w:r>
              <w:rPr>
                <w:rFonts w:cs="Times New Roman"/>
                <w:sz w:val="21"/>
                <w:szCs w:val="21"/>
              </w:rPr>
              <w:t>07:3</w:t>
            </w:r>
            <w:r>
              <w:rPr>
                <w:rFonts w:hint="eastAsia" w:cs="Times New Roman"/>
                <w:sz w:val="21"/>
                <w:szCs w:val="21"/>
              </w:rPr>
              <w:t>0</w:t>
            </w:r>
          </w:p>
        </w:tc>
        <w:tc>
          <w:tcPr>
            <w:tcW w:w="2126"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竞赛选手进行一次加密</w:t>
            </w:r>
          </w:p>
        </w:tc>
        <w:tc>
          <w:tcPr>
            <w:tcW w:w="3787"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参赛选手持参赛证、身份证和工作证接受工作人员检录并进行一次加密确定参赛编号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4" w:type="dxa"/>
            <w:vMerge w:val="continue"/>
            <w:vAlign w:val="center"/>
          </w:tcPr>
          <w:p>
            <w:pPr>
              <w:adjustRightInd w:val="0"/>
              <w:snapToGrid w:val="0"/>
              <w:spacing w:line="240" w:lineRule="auto"/>
              <w:ind w:left="-120" w:leftChars="-50" w:right="-120" w:rightChars="-50" w:firstLine="0" w:firstLineChars="0"/>
              <w:jc w:val="center"/>
              <w:rPr>
                <w:rFonts w:cs="Times New Roman"/>
                <w:sz w:val="21"/>
                <w:szCs w:val="21"/>
              </w:rPr>
            </w:pPr>
          </w:p>
        </w:tc>
        <w:tc>
          <w:tcPr>
            <w:tcW w:w="1390" w:type="dxa"/>
            <w:vAlign w:val="center"/>
          </w:tcPr>
          <w:p>
            <w:pPr>
              <w:adjustRightInd w:val="0"/>
              <w:snapToGrid w:val="0"/>
              <w:spacing w:line="240" w:lineRule="auto"/>
              <w:ind w:left="-120" w:leftChars="-50" w:right="-120" w:rightChars="-50" w:firstLine="0" w:firstLineChars="0"/>
              <w:jc w:val="center"/>
              <w:rPr>
                <w:rFonts w:cs="Times New Roman"/>
                <w:sz w:val="21"/>
                <w:szCs w:val="21"/>
              </w:rPr>
            </w:pPr>
            <w:r>
              <w:rPr>
                <w:rFonts w:hint="eastAsia" w:cs="Times New Roman"/>
                <w:sz w:val="21"/>
                <w:szCs w:val="21"/>
              </w:rPr>
              <w:t>0</w:t>
            </w:r>
            <w:r>
              <w:rPr>
                <w:rFonts w:cs="Times New Roman"/>
                <w:sz w:val="21"/>
                <w:szCs w:val="21"/>
              </w:rPr>
              <w:t>7</w:t>
            </w:r>
            <w:r>
              <w:rPr>
                <w:rFonts w:hint="eastAsia" w:cs="Times New Roman"/>
                <w:sz w:val="21"/>
                <w:szCs w:val="21"/>
              </w:rPr>
              <w:t>:</w:t>
            </w:r>
            <w:r>
              <w:rPr>
                <w:rFonts w:cs="Times New Roman"/>
                <w:sz w:val="21"/>
                <w:szCs w:val="21"/>
              </w:rPr>
              <w:t>3</w:t>
            </w:r>
            <w:r>
              <w:rPr>
                <w:rFonts w:hint="eastAsia" w:cs="Times New Roman"/>
                <w:sz w:val="21"/>
                <w:szCs w:val="21"/>
              </w:rPr>
              <w:t>0-</w:t>
            </w:r>
            <w:r>
              <w:rPr>
                <w:rFonts w:cs="Times New Roman"/>
                <w:sz w:val="21"/>
                <w:szCs w:val="21"/>
              </w:rPr>
              <w:t>07:4</w:t>
            </w:r>
            <w:r>
              <w:rPr>
                <w:rFonts w:hint="eastAsia" w:cs="Times New Roman"/>
                <w:sz w:val="21"/>
                <w:szCs w:val="21"/>
              </w:rPr>
              <w:t>0</w:t>
            </w:r>
          </w:p>
        </w:tc>
        <w:tc>
          <w:tcPr>
            <w:tcW w:w="2126"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二次抽签加密</w:t>
            </w:r>
          </w:p>
        </w:tc>
        <w:tc>
          <w:tcPr>
            <w:tcW w:w="3787"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参赛选手凭一次加密后的参赛编号进行二次抽签加密确定工位号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4" w:type="dxa"/>
            <w:vMerge w:val="continue"/>
            <w:vAlign w:val="center"/>
          </w:tcPr>
          <w:p>
            <w:pPr>
              <w:adjustRightInd w:val="0"/>
              <w:snapToGrid w:val="0"/>
              <w:spacing w:line="240" w:lineRule="auto"/>
              <w:ind w:left="-120" w:leftChars="-50" w:right="-120" w:rightChars="-50" w:firstLine="0" w:firstLineChars="0"/>
              <w:jc w:val="center"/>
              <w:rPr>
                <w:rFonts w:cs="Times New Roman"/>
                <w:sz w:val="21"/>
                <w:szCs w:val="21"/>
              </w:rPr>
            </w:pPr>
          </w:p>
        </w:tc>
        <w:tc>
          <w:tcPr>
            <w:tcW w:w="1390" w:type="dxa"/>
            <w:vAlign w:val="center"/>
          </w:tcPr>
          <w:p>
            <w:pPr>
              <w:adjustRightInd w:val="0"/>
              <w:snapToGrid w:val="0"/>
              <w:spacing w:line="240" w:lineRule="auto"/>
              <w:ind w:left="-120" w:leftChars="-50" w:right="-120" w:rightChars="-50" w:firstLine="0" w:firstLineChars="0"/>
              <w:jc w:val="center"/>
              <w:rPr>
                <w:rFonts w:cs="Times New Roman"/>
                <w:sz w:val="21"/>
                <w:szCs w:val="21"/>
              </w:rPr>
            </w:pPr>
            <w:r>
              <w:rPr>
                <w:rFonts w:cs="Times New Roman"/>
                <w:sz w:val="21"/>
                <w:szCs w:val="21"/>
              </w:rPr>
              <w:t>07:4</w:t>
            </w:r>
            <w:r>
              <w:rPr>
                <w:rFonts w:hint="eastAsia" w:cs="Times New Roman"/>
                <w:sz w:val="21"/>
                <w:szCs w:val="21"/>
              </w:rPr>
              <w:t>0</w:t>
            </w:r>
            <w:r>
              <w:rPr>
                <w:rFonts w:cs="Times New Roman"/>
                <w:sz w:val="21"/>
                <w:szCs w:val="21"/>
              </w:rPr>
              <w:t>-08:00</w:t>
            </w:r>
          </w:p>
        </w:tc>
        <w:tc>
          <w:tcPr>
            <w:tcW w:w="2126"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竞赛选手入场就位、检查设备和材料、宣读竞赛规则、发布竞赛任务</w:t>
            </w:r>
          </w:p>
        </w:tc>
        <w:tc>
          <w:tcPr>
            <w:tcW w:w="3787"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参赛选手根据工位号由工作人员引导进入竞赛</w:t>
            </w:r>
            <w:r>
              <w:rPr>
                <w:rFonts w:hint="eastAsia"/>
                <w:sz w:val="21"/>
                <w:szCs w:val="21"/>
              </w:rPr>
              <w:t>工位</w:t>
            </w:r>
            <w:r>
              <w:rPr>
                <w:rFonts w:hint="eastAsia" w:cs="Times New Roman"/>
                <w:sz w:val="21"/>
                <w:szCs w:val="21"/>
              </w:rPr>
              <w:t>、检查设备和材料，</w:t>
            </w:r>
            <w:r>
              <w:rPr>
                <w:rFonts w:hint="eastAsia" w:cs="宋体"/>
                <w:kern w:val="0"/>
                <w:sz w:val="21"/>
                <w:szCs w:val="21"/>
              </w:rPr>
              <w:t>裁判宣读竞赛规则及赛场规则，发布竞赛任务并作必要说明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4" w:type="dxa"/>
            <w:vMerge w:val="continue"/>
            <w:vAlign w:val="center"/>
          </w:tcPr>
          <w:p>
            <w:pPr>
              <w:adjustRightInd w:val="0"/>
              <w:snapToGrid w:val="0"/>
              <w:spacing w:line="240" w:lineRule="auto"/>
              <w:ind w:left="-120" w:leftChars="-50" w:right="-120" w:rightChars="-50" w:firstLine="0" w:firstLineChars="0"/>
              <w:jc w:val="center"/>
              <w:rPr>
                <w:rFonts w:cs="Times New Roman"/>
                <w:sz w:val="21"/>
                <w:szCs w:val="21"/>
              </w:rPr>
            </w:pPr>
          </w:p>
        </w:tc>
        <w:tc>
          <w:tcPr>
            <w:tcW w:w="1390" w:type="dxa"/>
            <w:vAlign w:val="center"/>
          </w:tcPr>
          <w:p>
            <w:pPr>
              <w:adjustRightInd w:val="0"/>
              <w:snapToGrid w:val="0"/>
              <w:spacing w:line="240" w:lineRule="auto"/>
              <w:ind w:left="-120" w:leftChars="-50" w:right="-120" w:rightChars="-50" w:firstLine="0" w:firstLineChars="0"/>
              <w:jc w:val="center"/>
              <w:rPr>
                <w:rFonts w:cs="Times New Roman"/>
                <w:sz w:val="21"/>
                <w:szCs w:val="21"/>
              </w:rPr>
            </w:pPr>
            <w:r>
              <w:rPr>
                <w:rFonts w:hint="eastAsia" w:cs="Times New Roman"/>
                <w:sz w:val="21"/>
                <w:szCs w:val="21"/>
              </w:rPr>
              <w:t>0</w:t>
            </w:r>
            <w:r>
              <w:rPr>
                <w:rFonts w:cs="Times New Roman"/>
                <w:sz w:val="21"/>
                <w:szCs w:val="21"/>
              </w:rPr>
              <w:t>8:00</w:t>
            </w:r>
          </w:p>
        </w:tc>
        <w:tc>
          <w:tcPr>
            <w:tcW w:w="2126"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竞赛开始</w:t>
            </w:r>
          </w:p>
        </w:tc>
        <w:tc>
          <w:tcPr>
            <w:tcW w:w="3787"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竞赛开始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4" w:type="dxa"/>
            <w:vMerge w:val="continue"/>
            <w:vAlign w:val="center"/>
          </w:tcPr>
          <w:p>
            <w:pPr>
              <w:adjustRightInd w:val="0"/>
              <w:snapToGrid w:val="0"/>
              <w:spacing w:line="240" w:lineRule="auto"/>
              <w:ind w:left="-120" w:leftChars="-50" w:right="-120" w:rightChars="-50" w:firstLine="0" w:firstLineChars="0"/>
              <w:jc w:val="center"/>
              <w:rPr>
                <w:rFonts w:cs="Times New Roman"/>
                <w:sz w:val="21"/>
                <w:szCs w:val="21"/>
              </w:rPr>
            </w:pPr>
          </w:p>
        </w:tc>
        <w:tc>
          <w:tcPr>
            <w:tcW w:w="1390" w:type="dxa"/>
            <w:vAlign w:val="center"/>
          </w:tcPr>
          <w:p>
            <w:pPr>
              <w:adjustRightInd w:val="0"/>
              <w:snapToGrid w:val="0"/>
              <w:spacing w:line="240" w:lineRule="auto"/>
              <w:ind w:left="-120" w:leftChars="-50" w:right="-120" w:rightChars="-50" w:firstLine="0" w:firstLineChars="0"/>
              <w:jc w:val="center"/>
              <w:rPr>
                <w:rFonts w:cs="Times New Roman"/>
                <w:sz w:val="21"/>
                <w:szCs w:val="21"/>
              </w:rPr>
            </w:pPr>
            <w:r>
              <w:rPr>
                <w:rFonts w:hint="eastAsia" w:cs="Times New Roman"/>
                <w:sz w:val="21"/>
                <w:szCs w:val="21"/>
              </w:rPr>
              <w:t>1</w:t>
            </w:r>
            <w:r>
              <w:rPr>
                <w:rFonts w:cs="Times New Roman"/>
                <w:sz w:val="21"/>
                <w:szCs w:val="21"/>
              </w:rPr>
              <w:t>2:00</w:t>
            </w:r>
          </w:p>
        </w:tc>
        <w:tc>
          <w:tcPr>
            <w:tcW w:w="2126"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竞赛结束</w:t>
            </w:r>
          </w:p>
        </w:tc>
        <w:tc>
          <w:tcPr>
            <w:tcW w:w="3787"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选手保存竞赛成果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4" w:type="dxa"/>
            <w:vMerge w:val="continue"/>
            <w:vAlign w:val="center"/>
          </w:tcPr>
          <w:p>
            <w:pPr>
              <w:adjustRightInd w:val="0"/>
              <w:snapToGrid w:val="0"/>
              <w:spacing w:line="240" w:lineRule="auto"/>
              <w:ind w:left="-120" w:leftChars="-50" w:right="-120" w:rightChars="-50" w:firstLine="0" w:firstLineChars="0"/>
              <w:jc w:val="center"/>
              <w:rPr>
                <w:rFonts w:cs="Times New Roman"/>
                <w:sz w:val="21"/>
                <w:szCs w:val="21"/>
              </w:rPr>
            </w:pPr>
          </w:p>
        </w:tc>
        <w:tc>
          <w:tcPr>
            <w:tcW w:w="1390" w:type="dxa"/>
            <w:vAlign w:val="center"/>
          </w:tcPr>
          <w:p>
            <w:pPr>
              <w:adjustRightInd w:val="0"/>
              <w:snapToGrid w:val="0"/>
              <w:spacing w:line="240" w:lineRule="auto"/>
              <w:ind w:left="-120" w:leftChars="-50" w:right="-120" w:rightChars="-50" w:firstLine="0" w:firstLineChars="0"/>
              <w:jc w:val="center"/>
              <w:rPr>
                <w:rFonts w:cs="Times New Roman"/>
                <w:sz w:val="21"/>
                <w:szCs w:val="21"/>
              </w:rPr>
            </w:pPr>
            <w:r>
              <w:rPr>
                <w:rFonts w:hint="eastAsia" w:cs="Times New Roman"/>
                <w:sz w:val="21"/>
                <w:szCs w:val="21"/>
              </w:rPr>
              <w:t>1</w:t>
            </w:r>
            <w:r>
              <w:rPr>
                <w:rFonts w:cs="Times New Roman"/>
                <w:sz w:val="21"/>
                <w:szCs w:val="21"/>
              </w:rPr>
              <w:t>2:00-14:00</w:t>
            </w:r>
          </w:p>
        </w:tc>
        <w:tc>
          <w:tcPr>
            <w:tcW w:w="2126"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赛项申诉与仲裁</w:t>
            </w:r>
          </w:p>
        </w:tc>
        <w:tc>
          <w:tcPr>
            <w:tcW w:w="3787"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4" w:type="dxa"/>
            <w:vMerge w:val="continue"/>
            <w:vAlign w:val="center"/>
          </w:tcPr>
          <w:p>
            <w:pPr>
              <w:adjustRightInd w:val="0"/>
              <w:snapToGrid w:val="0"/>
              <w:spacing w:line="240" w:lineRule="auto"/>
              <w:ind w:left="-120" w:leftChars="-50" w:right="-120" w:rightChars="-50" w:firstLine="0" w:firstLineChars="0"/>
              <w:jc w:val="center"/>
              <w:rPr>
                <w:rFonts w:cs="Times New Roman"/>
                <w:sz w:val="21"/>
                <w:szCs w:val="21"/>
              </w:rPr>
            </w:pPr>
          </w:p>
        </w:tc>
        <w:tc>
          <w:tcPr>
            <w:tcW w:w="1390" w:type="dxa"/>
            <w:vAlign w:val="center"/>
          </w:tcPr>
          <w:p>
            <w:pPr>
              <w:adjustRightInd w:val="0"/>
              <w:snapToGrid w:val="0"/>
              <w:spacing w:line="240" w:lineRule="auto"/>
              <w:ind w:left="-120" w:leftChars="-50" w:right="-120" w:rightChars="-50" w:firstLine="0" w:firstLineChars="0"/>
              <w:jc w:val="center"/>
              <w:rPr>
                <w:rFonts w:cs="Times New Roman"/>
                <w:sz w:val="21"/>
                <w:szCs w:val="21"/>
              </w:rPr>
            </w:pPr>
            <w:r>
              <w:rPr>
                <w:rFonts w:hint="eastAsia" w:cs="Times New Roman"/>
                <w:sz w:val="21"/>
                <w:szCs w:val="21"/>
              </w:rPr>
              <w:t>1</w:t>
            </w:r>
            <w:r>
              <w:rPr>
                <w:rFonts w:cs="Times New Roman"/>
                <w:sz w:val="21"/>
                <w:szCs w:val="21"/>
              </w:rPr>
              <w:t>4:00-20:00</w:t>
            </w:r>
          </w:p>
        </w:tc>
        <w:tc>
          <w:tcPr>
            <w:tcW w:w="2126"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评分</w:t>
            </w:r>
          </w:p>
        </w:tc>
        <w:tc>
          <w:tcPr>
            <w:tcW w:w="3787"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裁判组对竞赛的各参赛队评分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4" w:type="dxa"/>
            <w:vMerge w:val="continue"/>
            <w:vAlign w:val="center"/>
          </w:tcPr>
          <w:p>
            <w:pPr>
              <w:adjustRightInd w:val="0"/>
              <w:snapToGrid w:val="0"/>
              <w:spacing w:line="240" w:lineRule="auto"/>
              <w:ind w:left="-120" w:leftChars="-50" w:right="-120" w:rightChars="-50" w:firstLine="0" w:firstLineChars="0"/>
              <w:jc w:val="center"/>
              <w:rPr>
                <w:rFonts w:cs="Times New Roman"/>
                <w:sz w:val="21"/>
                <w:szCs w:val="21"/>
              </w:rPr>
            </w:pPr>
          </w:p>
        </w:tc>
        <w:tc>
          <w:tcPr>
            <w:tcW w:w="1390" w:type="dxa"/>
            <w:vAlign w:val="center"/>
          </w:tcPr>
          <w:p>
            <w:pPr>
              <w:adjustRightInd w:val="0"/>
              <w:snapToGrid w:val="0"/>
              <w:spacing w:line="240" w:lineRule="auto"/>
              <w:ind w:left="-120" w:leftChars="-50" w:right="-120" w:rightChars="-50" w:firstLine="0" w:firstLineChars="0"/>
              <w:jc w:val="center"/>
              <w:rPr>
                <w:rFonts w:cs="Times New Roman"/>
                <w:sz w:val="21"/>
                <w:szCs w:val="21"/>
              </w:rPr>
            </w:pPr>
            <w:r>
              <w:rPr>
                <w:rFonts w:hint="eastAsia" w:cs="Times New Roman"/>
                <w:sz w:val="21"/>
                <w:szCs w:val="21"/>
              </w:rPr>
              <w:t>2</w:t>
            </w:r>
            <w:r>
              <w:rPr>
                <w:rFonts w:cs="Times New Roman"/>
                <w:sz w:val="21"/>
                <w:szCs w:val="21"/>
              </w:rPr>
              <w:t>0:00-20:30</w:t>
            </w:r>
          </w:p>
        </w:tc>
        <w:tc>
          <w:tcPr>
            <w:tcW w:w="2126"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解密</w:t>
            </w:r>
          </w:p>
        </w:tc>
        <w:tc>
          <w:tcPr>
            <w:tcW w:w="3787"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对加密信息进行解密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4" w:type="dxa"/>
            <w:vMerge w:val="continue"/>
            <w:vAlign w:val="center"/>
          </w:tcPr>
          <w:p>
            <w:pPr>
              <w:adjustRightInd w:val="0"/>
              <w:snapToGrid w:val="0"/>
              <w:spacing w:line="240" w:lineRule="auto"/>
              <w:ind w:left="-120" w:leftChars="-50" w:right="-120" w:rightChars="-50" w:firstLine="0" w:firstLineChars="0"/>
              <w:jc w:val="center"/>
              <w:rPr>
                <w:rFonts w:cs="Times New Roman"/>
                <w:sz w:val="21"/>
                <w:szCs w:val="21"/>
              </w:rPr>
            </w:pPr>
          </w:p>
        </w:tc>
        <w:tc>
          <w:tcPr>
            <w:tcW w:w="1390" w:type="dxa"/>
            <w:vAlign w:val="center"/>
          </w:tcPr>
          <w:p>
            <w:pPr>
              <w:adjustRightInd w:val="0"/>
              <w:snapToGrid w:val="0"/>
              <w:spacing w:line="240" w:lineRule="auto"/>
              <w:ind w:left="-120" w:leftChars="-50" w:right="-120" w:rightChars="-50" w:firstLine="0" w:firstLineChars="0"/>
              <w:jc w:val="center"/>
              <w:rPr>
                <w:rFonts w:cs="Times New Roman"/>
                <w:sz w:val="21"/>
                <w:szCs w:val="21"/>
              </w:rPr>
            </w:pPr>
            <w:r>
              <w:rPr>
                <w:rFonts w:hint="eastAsia" w:cs="Times New Roman"/>
                <w:sz w:val="21"/>
                <w:szCs w:val="21"/>
              </w:rPr>
              <w:t>2</w:t>
            </w:r>
            <w:r>
              <w:rPr>
                <w:rFonts w:cs="Times New Roman"/>
                <w:sz w:val="21"/>
                <w:szCs w:val="21"/>
              </w:rPr>
              <w:t>0:30-22:30</w:t>
            </w:r>
          </w:p>
        </w:tc>
        <w:tc>
          <w:tcPr>
            <w:tcW w:w="2126"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成绩统计、公示</w:t>
            </w:r>
          </w:p>
        </w:tc>
        <w:tc>
          <w:tcPr>
            <w:tcW w:w="3787" w:type="dxa"/>
            <w:vAlign w:val="center"/>
          </w:tcPr>
          <w:p>
            <w:pPr>
              <w:adjustRightInd w:val="0"/>
              <w:snapToGrid w:val="0"/>
              <w:spacing w:line="240" w:lineRule="auto"/>
              <w:ind w:firstLine="0" w:firstLineChars="0"/>
              <w:jc w:val="center"/>
              <w:rPr>
                <w:rFonts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4" w:type="dxa"/>
            <w:vAlign w:val="center"/>
          </w:tcPr>
          <w:p>
            <w:pPr>
              <w:adjustRightInd w:val="0"/>
              <w:snapToGrid w:val="0"/>
              <w:spacing w:line="240" w:lineRule="auto"/>
              <w:ind w:left="-120" w:leftChars="-50" w:right="-120" w:rightChars="-50" w:firstLine="0" w:firstLineChars="0"/>
              <w:jc w:val="center"/>
              <w:rPr>
                <w:rFonts w:cs="Times New Roman"/>
                <w:sz w:val="21"/>
                <w:szCs w:val="21"/>
              </w:rPr>
            </w:pPr>
            <w:r>
              <w:rPr>
                <w:rFonts w:hint="eastAsia" w:cs="Times New Roman"/>
                <w:sz w:val="21"/>
                <w:szCs w:val="21"/>
              </w:rPr>
              <w:t>成绩发布日</w:t>
            </w:r>
          </w:p>
        </w:tc>
        <w:tc>
          <w:tcPr>
            <w:tcW w:w="1390" w:type="dxa"/>
            <w:vAlign w:val="center"/>
          </w:tcPr>
          <w:p>
            <w:pPr>
              <w:adjustRightInd w:val="0"/>
              <w:snapToGrid w:val="0"/>
              <w:spacing w:line="240" w:lineRule="auto"/>
              <w:ind w:left="-120" w:leftChars="-50" w:right="-120" w:rightChars="-50" w:firstLine="0" w:firstLineChars="0"/>
              <w:jc w:val="center"/>
              <w:rPr>
                <w:rFonts w:cs="Times New Roman"/>
                <w:sz w:val="21"/>
                <w:szCs w:val="21"/>
              </w:rPr>
            </w:pPr>
            <w:r>
              <w:rPr>
                <w:rFonts w:cs="Times New Roman"/>
                <w:sz w:val="21"/>
                <w:szCs w:val="21"/>
              </w:rPr>
              <w:t>09:00-12:00</w:t>
            </w:r>
          </w:p>
        </w:tc>
        <w:tc>
          <w:tcPr>
            <w:tcW w:w="2126"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成绩发布会</w:t>
            </w:r>
          </w:p>
        </w:tc>
        <w:tc>
          <w:tcPr>
            <w:tcW w:w="3787" w:type="dxa"/>
            <w:vAlign w:val="center"/>
          </w:tcPr>
          <w:p>
            <w:pPr>
              <w:adjustRightInd w:val="0"/>
              <w:snapToGrid w:val="0"/>
              <w:spacing w:line="240" w:lineRule="auto"/>
              <w:ind w:firstLine="0" w:firstLineChars="0"/>
              <w:jc w:val="center"/>
              <w:rPr>
                <w:rFonts w:cs="Times New Roman"/>
                <w:sz w:val="21"/>
                <w:szCs w:val="21"/>
              </w:rPr>
            </w:pPr>
            <w:r>
              <w:rPr>
                <w:rFonts w:hint="eastAsia" w:cs="Times New Roman"/>
                <w:sz w:val="21"/>
                <w:szCs w:val="21"/>
              </w:rPr>
              <w:t>公布成绩、赛项点评、颁奖</w:t>
            </w:r>
          </w:p>
        </w:tc>
      </w:tr>
    </w:tbl>
    <w:p>
      <w:pPr>
        <w:ind w:firstLine="480"/>
        <w:rPr>
          <w:rFonts w:ascii="仿宋" w:hAnsi="仿宋" w:cs="仿宋"/>
          <w:szCs w:val="24"/>
        </w:rPr>
      </w:pPr>
      <w:r>
        <w:rPr>
          <w:rFonts w:hint="eastAsia" w:ascii="仿宋" w:hAnsi="仿宋" w:cs="仿宋"/>
          <w:szCs w:val="24"/>
        </w:rPr>
        <w:t>2.教师竞赛流程图</w:t>
      </w:r>
    </w:p>
    <w:p>
      <w:pPr>
        <w:ind w:firstLine="480"/>
        <w:rPr>
          <w:rFonts w:ascii="仿宋" w:hAnsi="仿宋" w:cs="仿宋"/>
          <w:szCs w:val="24"/>
        </w:rPr>
      </w:pPr>
      <w:r>
        <w:rPr>
          <w:rFonts w:hint="eastAsia" w:ascii="仿宋" w:hAnsi="仿宋" w:cs="仿宋"/>
          <w:szCs w:val="24"/>
        </w:rPr>
        <w:t>同学生组。</w:t>
      </w:r>
    </w:p>
    <w:p>
      <w:pPr>
        <w:numPr>
          <w:ilvl w:val="0"/>
          <w:numId w:val="1"/>
        </w:numPr>
        <w:ind w:firstLine="482"/>
        <w:rPr>
          <w:rFonts w:ascii="仿宋" w:hAnsi="仿宋" w:cs="仿宋"/>
          <w:b/>
          <w:szCs w:val="24"/>
        </w:rPr>
      </w:pPr>
      <w:r>
        <w:rPr>
          <w:rFonts w:hint="eastAsia" w:ascii="仿宋" w:hAnsi="仿宋" w:cs="仿宋"/>
          <w:b/>
          <w:szCs w:val="24"/>
        </w:rPr>
        <w:t>竞赛赛卷</w:t>
      </w:r>
    </w:p>
    <w:p>
      <w:pPr>
        <w:numPr>
          <w:ilvl w:val="0"/>
          <w:numId w:val="2"/>
        </w:numPr>
        <w:ind w:firstLine="480"/>
        <w:rPr>
          <w:rFonts w:ascii="仿宋" w:hAnsi="仿宋" w:cs="仿宋"/>
          <w:bCs/>
          <w:szCs w:val="24"/>
        </w:rPr>
      </w:pPr>
      <w:r>
        <w:rPr>
          <w:rFonts w:hint="eastAsia" w:ascii="仿宋" w:hAnsi="仿宋" w:cs="仿宋"/>
          <w:bCs/>
          <w:szCs w:val="24"/>
        </w:rPr>
        <w:t>学生组赛卷</w:t>
      </w:r>
    </w:p>
    <w:p>
      <w:pPr>
        <w:ind w:firstLine="0" w:firstLineChars="0"/>
        <w:rPr>
          <w:rFonts w:ascii="仿宋" w:hAnsi="仿宋" w:cs="仿宋"/>
          <w:bCs/>
          <w:szCs w:val="24"/>
        </w:rPr>
      </w:pPr>
      <w:r>
        <w:rPr>
          <w:rFonts w:hint="eastAsia" w:ascii="仿宋" w:hAnsi="仿宋" w:cs="仿宋"/>
          <w:bCs/>
          <w:szCs w:val="24"/>
        </w:rPr>
        <w:t xml:space="preserve">     根据学生组竞赛内容，由专家组命题三套学生竞赛赛卷，比赛时由监督员抽取其中一套赛卷进行比赛。为贯彻公开、公平、公正原则，本赛卷的样卷见附件一、学生组赛卷样卷。</w:t>
      </w:r>
    </w:p>
    <w:p>
      <w:pPr>
        <w:numPr>
          <w:ilvl w:val="0"/>
          <w:numId w:val="2"/>
        </w:numPr>
        <w:ind w:firstLine="480"/>
        <w:rPr>
          <w:rFonts w:ascii="仿宋" w:hAnsi="仿宋" w:cs="仿宋"/>
          <w:bCs/>
          <w:szCs w:val="24"/>
        </w:rPr>
      </w:pPr>
      <w:r>
        <w:rPr>
          <w:rFonts w:hint="eastAsia" w:ascii="仿宋" w:hAnsi="仿宋" w:cs="仿宋"/>
          <w:bCs/>
          <w:szCs w:val="24"/>
        </w:rPr>
        <w:t>教师组赛卷</w:t>
      </w:r>
    </w:p>
    <w:p>
      <w:pPr>
        <w:ind w:firstLine="0" w:firstLineChars="0"/>
        <w:rPr>
          <w:rFonts w:ascii="仿宋" w:hAnsi="仿宋" w:cs="仿宋"/>
          <w:bCs/>
          <w:szCs w:val="24"/>
        </w:rPr>
      </w:pPr>
      <w:r>
        <w:rPr>
          <w:rFonts w:hint="eastAsia" w:ascii="仿宋" w:hAnsi="仿宋" w:cs="仿宋"/>
          <w:bCs/>
          <w:szCs w:val="24"/>
        </w:rPr>
        <w:t xml:space="preserve">    根据教师组竞赛内容，由专家组命题三套教师竞赛赛卷，比赛时由监督员抽取其中一套赛卷进行比赛。为贯彻公开、公平、公正原则，本赛卷的样卷见附件二、教师组赛卷样卷。</w:t>
      </w:r>
    </w:p>
    <w:p>
      <w:pPr>
        <w:numPr>
          <w:ilvl w:val="0"/>
          <w:numId w:val="1"/>
        </w:numPr>
        <w:ind w:firstLine="482"/>
        <w:rPr>
          <w:rFonts w:ascii="仿宋" w:hAnsi="仿宋" w:cs="仿宋"/>
          <w:b/>
          <w:szCs w:val="24"/>
        </w:rPr>
      </w:pPr>
      <w:r>
        <w:rPr>
          <w:rFonts w:hint="eastAsia" w:ascii="仿宋" w:hAnsi="仿宋" w:cs="仿宋"/>
          <w:b/>
          <w:szCs w:val="24"/>
        </w:rPr>
        <w:t>竞赛规则</w:t>
      </w:r>
    </w:p>
    <w:p>
      <w:pPr>
        <w:ind w:left="480" w:leftChars="200" w:firstLine="0" w:firstLineChars="0"/>
        <w:rPr>
          <w:rFonts w:ascii="仿宋" w:hAnsi="仿宋" w:cs="仿宋"/>
          <w:bCs/>
          <w:szCs w:val="24"/>
        </w:rPr>
      </w:pPr>
      <w:r>
        <w:rPr>
          <w:rFonts w:hint="eastAsia" w:ascii="仿宋" w:hAnsi="仿宋" w:cs="仿宋"/>
          <w:bCs/>
          <w:szCs w:val="24"/>
        </w:rPr>
        <w:t>（一）选手报名</w:t>
      </w:r>
    </w:p>
    <w:p>
      <w:pPr>
        <w:ind w:firstLine="480"/>
        <w:rPr>
          <w:rFonts w:ascii="仿宋" w:hAnsi="仿宋" w:cs="仿宋"/>
          <w:bCs/>
          <w:szCs w:val="24"/>
        </w:rPr>
      </w:pPr>
      <w:r>
        <w:rPr>
          <w:rFonts w:ascii="仿宋" w:hAnsi="仿宋" w:cs="仿宋"/>
          <w:bCs/>
          <w:szCs w:val="24"/>
        </w:rPr>
        <w:t>1</w:t>
      </w:r>
      <w:r>
        <w:rPr>
          <w:rFonts w:hint="eastAsia" w:ascii="仿宋" w:hAnsi="仿宋" w:cs="仿宋"/>
          <w:bCs/>
          <w:szCs w:val="24"/>
        </w:rPr>
        <w:t>.学生</w:t>
      </w:r>
      <w:r>
        <w:rPr>
          <w:rFonts w:ascii="仿宋" w:hAnsi="仿宋" w:cs="仿宋"/>
          <w:bCs/>
          <w:szCs w:val="24"/>
        </w:rPr>
        <w:t>组参赛对象为中等职业学校（含技工学校）在校生及五年制高职一至三年级学生；教师组参赛对象为中等职业学校在编教师或已连续聘用的在聘教师（即2020年9月以前在聘教师）。获得过省赛、国赛学生组一等奖的学生选手不得参加同一</w:t>
      </w:r>
      <w:r>
        <w:rPr>
          <w:rFonts w:hint="eastAsia" w:ascii="仿宋" w:hAnsi="仿宋" w:cs="仿宋"/>
          <w:bCs/>
          <w:szCs w:val="24"/>
        </w:rPr>
        <w:t>赛</w:t>
      </w:r>
      <w:r>
        <w:rPr>
          <w:rFonts w:ascii="仿宋" w:hAnsi="仿宋" w:cs="仿宋"/>
          <w:bCs/>
          <w:szCs w:val="24"/>
        </w:rPr>
        <w:t>项2023年度竞赛。获2021年、2022年教师组一等奖的教师不得参加2023年同一</w:t>
      </w:r>
      <w:r>
        <w:rPr>
          <w:rFonts w:hint="eastAsia" w:ascii="仿宋" w:hAnsi="仿宋" w:cs="仿宋"/>
          <w:bCs/>
          <w:szCs w:val="24"/>
        </w:rPr>
        <w:t>赛</w:t>
      </w:r>
      <w:r>
        <w:rPr>
          <w:rFonts w:ascii="仿宋" w:hAnsi="仿宋" w:cs="仿宋"/>
          <w:bCs/>
          <w:szCs w:val="24"/>
        </w:rPr>
        <w:t>项竞赛。</w:t>
      </w:r>
    </w:p>
    <w:p>
      <w:pPr>
        <w:ind w:firstLine="480"/>
        <w:rPr>
          <w:rFonts w:ascii="仿宋" w:hAnsi="仿宋" w:cs="仿宋"/>
          <w:bCs/>
          <w:szCs w:val="24"/>
        </w:rPr>
      </w:pPr>
      <w:r>
        <w:rPr>
          <w:rFonts w:hint="eastAsia" w:ascii="仿宋" w:hAnsi="仿宋" w:cs="仿宋"/>
          <w:bCs/>
          <w:szCs w:val="24"/>
        </w:rPr>
        <w:t>2.</w:t>
      </w:r>
      <w:r>
        <w:rPr>
          <w:rFonts w:ascii="仿宋" w:hAnsi="仿宋" w:cs="仿宋"/>
          <w:bCs/>
          <w:szCs w:val="24"/>
        </w:rPr>
        <w:t>团体赛不得跨校组队，同一学校相同项目报名参赛队</w:t>
      </w:r>
      <w:r>
        <w:rPr>
          <w:rFonts w:hint="eastAsia" w:ascii="仿宋" w:hAnsi="仿宋" w:cs="仿宋"/>
          <w:bCs/>
          <w:szCs w:val="24"/>
        </w:rPr>
        <w:t>原则上</w:t>
      </w:r>
      <w:r>
        <w:rPr>
          <w:rFonts w:ascii="仿宋" w:hAnsi="仿宋" w:cs="仿宋"/>
          <w:bCs/>
          <w:szCs w:val="24"/>
        </w:rPr>
        <w:t>不超过1支；个人赛同一学校相同项目报名人数原则上不超过2人</w:t>
      </w:r>
      <w:r>
        <w:rPr>
          <w:rFonts w:hint="eastAsia" w:ascii="仿宋" w:hAnsi="仿宋" w:cs="仿宋"/>
          <w:bCs/>
          <w:szCs w:val="24"/>
        </w:rPr>
        <w:t>。</w:t>
      </w:r>
    </w:p>
    <w:p>
      <w:pPr>
        <w:ind w:firstLine="480"/>
        <w:rPr>
          <w:rFonts w:ascii="仿宋" w:hAnsi="仿宋" w:cs="仿宋"/>
          <w:bCs/>
          <w:szCs w:val="24"/>
        </w:rPr>
      </w:pPr>
      <w:r>
        <w:rPr>
          <w:rFonts w:hint="eastAsia" w:ascii="仿宋" w:hAnsi="仿宋" w:cs="仿宋"/>
          <w:bCs/>
          <w:szCs w:val="24"/>
        </w:rPr>
        <w:t>3.各职业院校按照大赛组委会规定的报名要求，通过“江苏省职业院校技能大赛网络报名系统”报名参赛。</w:t>
      </w:r>
    </w:p>
    <w:p>
      <w:pPr>
        <w:ind w:firstLine="480"/>
        <w:rPr>
          <w:rFonts w:ascii="仿宋" w:hAnsi="仿宋" w:cs="仿宋"/>
          <w:bCs/>
          <w:szCs w:val="24"/>
        </w:rPr>
      </w:pPr>
      <w:r>
        <w:rPr>
          <w:rFonts w:ascii="仿宋" w:hAnsi="仿宋" w:cs="仿宋"/>
          <w:bCs/>
          <w:szCs w:val="24"/>
        </w:rPr>
        <w:t>4.参赛选手和指导教师报名，获得确认后不得随意更换。比赛前参赛选手和指导教师因故无法参赛，须由学校在相应赛项开赛前10个工作日出具书面说明，并按参赛选手资格补充人员并接受审核，经省大赛组委会办公室同意后予以更换。</w:t>
      </w:r>
    </w:p>
    <w:p>
      <w:pPr>
        <w:ind w:left="480" w:leftChars="200" w:firstLine="0" w:firstLineChars="0"/>
        <w:rPr>
          <w:rFonts w:ascii="仿宋" w:hAnsi="仿宋" w:cs="仿宋"/>
          <w:bCs/>
          <w:szCs w:val="24"/>
        </w:rPr>
      </w:pPr>
      <w:r>
        <w:rPr>
          <w:rFonts w:hint="eastAsia" w:ascii="仿宋" w:hAnsi="仿宋" w:cs="仿宋"/>
          <w:bCs/>
          <w:szCs w:val="24"/>
        </w:rPr>
        <w:t>5</w:t>
      </w:r>
      <w:r>
        <w:rPr>
          <w:rFonts w:ascii="仿宋" w:hAnsi="仿宋" w:cs="仿宋"/>
          <w:bCs/>
          <w:szCs w:val="24"/>
        </w:rPr>
        <w:t>.各设区教育行政部门负责本地参赛</w:t>
      </w:r>
      <w:r>
        <w:rPr>
          <w:rFonts w:hint="eastAsia" w:ascii="仿宋" w:hAnsi="仿宋" w:cs="仿宋"/>
          <w:bCs/>
          <w:szCs w:val="24"/>
        </w:rPr>
        <w:t>师</w:t>
      </w:r>
      <w:r>
        <w:rPr>
          <w:rFonts w:ascii="仿宋" w:hAnsi="仿宋" w:cs="仿宋"/>
          <w:bCs/>
          <w:szCs w:val="24"/>
        </w:rPr>
        <w:t>生的资格审查工作。</w:t>
      </w:r>
    </w:p>
    <w:p>
      <w:pPr>
        <w:ind w:left="480" w:leftChars="200" w:firstLine="0" w:firstLineChars="0"/>
        <w:rPr>
          <w:rFonts w:ascii="仿宋" w:hAnsi="仿宋" w:cs="仿宋"/>
          <w:bCs/>
          <w:szCs w:val="24"/>
        </w:rPr>
      </w:pPr>
      <w:r>
        <w:rPr>
          <w:rFonts w:hint="eastAsia" w:ascii="仿宋" w:hAnsi="仿宋" w:cs="仿宋"/>
          <w:bCs/>
          <w:szCs w:val="24"/>
        </w:rPr>
        <w:t>（二）熟悉场地</w:t>
      </w:r>
    </w:p>
    <w:p>
      <w:pPr>
        <w:ind w:firstLine="480"/>
        <w:rPr>
          <w:rFonts w:ascii="仿宋" w:hAnsi="仿宋" w:cs="仿宋"/>
          <w:bCs/>
          <w:szCs w:val="24"/>
        </w:rPr>
      </w:pPr>
      <w:r>
        <w:rPr>
          <w:rFonts w:ascii="仿宋" w:hAnsi="仿宋" w:cs="仿宋"/>
          <w:bCs/>
          <w:szCs w:val="24"/>
        </w:rPr>
        <w:t>比赛前一天下午安排参赛队熟悉比赛场地，召开领队会议，宣布竞赛纪律和有关事宜。</w:t>
      </w:r>
    </w:p>
    <w:p>
      <w:pPr>
        <w:ind w:firstLine="480"/>
        <w:rPr>
          <w:rFonts w:ascii="仿宋" w:hAnsi="仿宋" w:cs="仿宋"/>
          <w:bCs/>
          <w:szCs w:val="24"/>
        </w:rPr>
      </w:pPr>
      <w:r>
        <w:rPr>
          <w:rFonts w:hint="eastAsia" w:ascii="仿宋" w:hAnsi="仿宋" w:cs="仿宋"/>
          <w:bCs/>
          <w:szCs w:val="24"/>
        </w:rPr>
        <w:t>（三）赛场规范</w:t>
      </w:r>
    </w:p>
    <w:p>
      <w:pPr>
        <w:ind w:firstLine="480"/>
        <w:rPr>
          <w:rFonts w:ascii="仿宋" w:hAnsi="仿宋" w:cs="仿宋"/>
          <w:bCs/>
          <w:szCs w:val="24"/>
        </w:rPr>
      </w:pPr>
      <w:r>
        <w:rPr>
          <w:rFonts w:hint="eastAsia" w:ascii="仿宋" w:hAnsi="仿宋" w:cs="仿宋"/>
          <w:bCs/>
          <w:szCs w:val="24"/>
        </w:rPr>
        <w:t>1</w:t>
      </w:r>
      <w:r>
        <w:rPr>
          <w:rFonts w:ascii="仿宋" w:hAnsi="仿宋" w:cs="仿宋"/>
          <w:bCs/>
          <w:szCs w:val="24"/>
        </w:rPr>
        <w:t>.</w:t>
      </w:r>
      <w:r>
        <w:rPr>
          <w:rFonts w:hint="eastAsia" w:ascii="仿宋" w:hAnsi="仿宋" w:cs="仿宋"/>
          <w:bCs/>
          <w:szCs w:val="24"/>
        </w:rPr>
        <w:t>参赛选手须提前 20 分钟入场，入场必须佩戴参赛证并出示身份证和学生证。不得私自携带任何软硬件工具（各种便携式电脑、各种移动存储设备等）、技术资源和通信工具。按工位号入座，检查比赛所需竞赛设备齐全后，由参赛选手签字确认方可开始比赛。选手在比赛中应注意随时存盘。迟到超过10 分钟不得入场。竞赛期间不准出场，竞赛结束后方可离场。</w:t>
      </w:r>
    </w:p>
    <w:p>
      <w:pPr>
        <w:ind w:firstLine="480"/>
        <w:rPr>
          <w:rFonts w:ascii="仿宋" w:hAnsi="仿宋" w:cs="仿宋"/>
          <w:bCs/>
          <w:szCs w:val="24"/>
        </w:rPr>
      </w:pPr>
      <w:r>
        <w:rPr>
          <w:rFonts w:hint="eastAsia" w:ascii="仿宋" w:hAnsi="仿宋" w:cs="仿宋"/>
          <w:bCs/>
          <w:szCs w:val="24"/>
        </w:rPr>
        <w:t>2.竞赛过程中，每个参赛队内部成员之间可以互相沟通，但不得与任何其它人员讨论问题，也不得向裁判、巡视和其他必须进入考场的工作人员询问与竞赛项目的操作流程和操作方法有关的问题，如有竞赛题目文字不清、软硬件环境故障的问题时，可向裁判员询问，成员间的沟通谈话不得影响到其他竞赛队伍。</w:t>
      </w:r>
    </w:p>
    <w:p>
      <w:pPr>
        <w:ind w:firstLine="480"/>
        <w:rPr>
          <w:rFonts w:ascii="仿宋" w:hAnsi="仿宋" w:cs="仿宋"/>
          <w:bCs/>
          <w:szCs w:val="24"/>
        </w:rPr>
      </w:pPr>
      <w:r>
        <w:rPr>
          <w:rFonts w:hint="eastAsia" w:ascii="仿宋" w:hAnsi="仿宋" w:cs="仿宋"/>
          <w:bCs/>
          <w:szCs w:val="24"/>
        </w:rPr>
        <w:t>3.竞赛过程中除裁判和其他必须进入考场的工作人员外，任何其它非竞赛选手不得进入竞赛场地。</w:t>
      </w:r>
    </w:p>
    <w:p>
      <w:pPr>
        <w:ind w:firstLine="480"/>
        <w:rPr>
          <w:rFonts w:ascii="仿宋" w:hAnsi="仿宋" w:cs="仿宋"/>
          <w:bCs/>
          <w:szCs w:val="24"/>
        </w:rPr>
      </w:pPr>
      <w:r>
        <w:rPr>
          <w:rFonts w:hint="eastAsia" w:ascii="仿宋" w:hAnsi="仿宋" w:cs="仿宋"/>
          <w:bCs/>
          <w:szCs w:val="24"/>
        </w:rPr>
        <w:t>4.竞赛赛程结束（或提前完成）后，参赛队要确认成功提交竞赛要求的文件，裁判员与参赛队队长一起签字确认，参赛队在确认后不得再进行任何操作。</w:t>
      </w:r>
    </w:p>
    <w:p>
      <w:pPr>
        <w:ind w:left="480" w:leftChars="200" w:firstLine="0" w:firstLineChars="0"/>
        <w:rPr>
          <w:rFonts w:ascii="仿宋" w:hAnsi="仿宋" w:cs="仿宋"/>
          <w:bCs/>
          <w:szCs w:val="24"/>
        </w:rPr>
      </w:pPr>
      <w:r>
        <w:rPr>
          <w:rFonts w:hint="eastAsia" w:ascii="仿宋" w:hAnsi="仿宋" w:cs="仿宋"/>
          <w:bCs/>
          <w:szCs w:val="24"/>
        </w:rPr>
        <w:t>（四）成绩评定与结果公布</w:t>
      </w:r>
    </w:p>
    <w:p>
      <w:pPr>
        <w:ind w:firstLine="480"/>
        <w:rPr>
          <w:bCs/>
        </w:rPr>
      </w:pPr>
      <w:r>
        <w:rPr>
          <w:rFonts w:hint="eastAsia"/>
        </w:rPr>
        <w:t>成绩评定和结果公布由</w:t>
      </w:r>
      <w:r>
        <w:rPr>
          <w:rFonts w:hint="eastAsia"/>
          <w:bCs/>
        </w:rPr>
        <w:t>裁判组、监督组和仲裁组组成的成绩管理机构负责。</w:t>
      </w:r>
    </w:p>
    <w:p>
      <w:pPr>
        <w:ind w:firstLine="480"/>
        <w:rPr>
          <w:bCs/>
        </w:rPr>
      </w:pPr>
      <w:r>
        <w:rPr>
          <w:rFonts w:hint="eastAsia"/>
          <w:bCs/>
        </w:rPr>
        <w:t>1.裁判组实行“裁判长负责制”，设裁判长1名，全面负责赛项的裁判分工、裁判评分审核、处理比赛中出现的争议问题等工作。</w:t>
      </w:r>
    </w:p>
    <w:p>
      <w:pPr>
        <w:ind w:firstLine="0" w:firstLineChars="0"/>
        <w:rPr>
          <w:bCs/>
        </w:rPr>
      </w:pPr>
      <w:r>
        <w:rPr>
          <w:rFonts w:hint="eastAsia"/>
          <w:bCs/>
        </w:rPr>
        <w:t xml:space="preserve">    2.裁判员根据比赛需要分为检录裁判、加密裁判、现场裁判和评分裁判。</w:t>
      </w:r>
    </w:p>
    <w:p>
      <w:pPr>
        <w:ind w:firstLine="480"/>
        <w:rPr>
          <w:bCs/>
        </w:rPr>
      </w:pPr>
      <w:r>
        <w:rPr>
          <w:rFonts w:hint="eastAsia"/>
          <w:bCs/>
        </w:rPr>
        <w:t>检录裁判：负责对参赛队伍（选手）进行点名登记、身份核对等工作；</w:t>
      </w:r>
    </w:p>
    <w:p>
      <w:pPr>
        <w:ind w:firstLine="480"/>
        <w:rPr>
          <w:bCs/>
        </w:rPr>
      </w:pPr>
      <w:r>
        <w:rPr>
          <w:rFonts w:hint="eastAsia"/>
          <w:bCs/>
        </w:rPr>
        <w:t>加密裁判：负责组织参赛队伍（选手）抽签，对参赛队信息、抽签代码等进行加密；</w:t>
      </w:r>
    </w:p>
    <w:p>
      <w:pPr>
        <w:ind w:firstLine="480"/>
        <w:rPr>
          <w:bCs/>
        </w:rPr>
      </w:pPr>
      <w:r>
        <w:rPr>
          <w:rFonts w:hint="eastAsia"/>
          <w:bCs/>
        </w:rPr>
        <w:t>现场裁判：按规定做好赛场记录，维护赛场纪律，评定参赛队的过程得分；</w:t>
      </w:r>
    </w:p>
    <w:p>
      <w:pPr>
        <w:ind w:firstLine="480"/>
        <w:rPr>
          <w:bCs/>
        </w:rPr>
      </w:pPr>
      <w:r>
        <w:rPr>
          <w:rFonts w:hint="eastAsia"/>
          <w:bCs/>
        </w:rPr>
        <w:t>评分裁判：负责按评分细则评定成绩。</w:t>
      </w:r>
    </w:p>
    <w:p>
      <w:pPr>
        <w:ind w:firstLine="480"/>
        <w:rPr>
          <w:bCs/>
        </w:rPr>
      </w:pPr>
      <w:r>
        <w:rPr>
          <w:rFonts w:hint="eastAsia"/>
          <w:bCs/>
        </w:rPr>
        <w:t>3.监督组对裁判组的工作进行全程监督，并对竞赛成绩抽检复核。</w:t>
      </w:r>
    </w:p>
    <w:p>
      <w:pPr>
        <w:ind w:firstLine="480"/>
        <w:rPr>
          <w:bCs/>
        </w:rPr>
      </w:pPr>
      <w:r>
        <w:rPr>
          <w:rFonts w:hint="eastAsia"/>
          <w:bCs/>
        </w:rPr>
        <w:t>4.仲裁组负责接受由参赛队领队提出的对裁判结果的申诉，组织复议并及时反馈复议结果。</w:t>
      </w:r>
    </w:p>
    <w:p>
      <w:pPr>
        <w:ind w:firstLine="480"/>
        <w:rPr>
          <w:bCs/>
        </w:rPr>
      </w:pPr>
      <w:r>
        <w:rPr>
          <w:rFonts w:hint="eastAsia"/>
          <w:bCs/>
        </w:rPr>
        <w:t>5.最终成绩经裁判组、监督组和仲裁组审核无误后正式公布。</w:t>
      </w:r>
    </w:p>
    <w:p>
      <w:pPr>
        <w:numPr>
          <w:ilvl w:val="0"/>
          <w:numId w:val="1"/>
        </w:numPr>
        <w:ind w:firstLine="482"/>
        <w:rPr>
          <w:rFonts w:ascii="仿宋" w:hAnsi="仿宋" w:cs="仿宋"/>
          <w:b/>
          <w:szCs w:val="24"/>
        </w:rPr>
      </w:pPr>
      <w:r>
        <w:rPr>
          <w:rFonts w:hint="eastAsia" w:ascii="仿宋" w:hAnsi="仿宋" w:cs="仿宋"/>
          <w:b/>
          <w:szCs w:val="24"/>
        </w:rPr>
        <w:t>竞赛环境</w:t>
      </w:r>
    </w:p>
    <w:p>
      <w:pPr>
        <w:numPr>
          <w:ilvl w:val="0"/>
          <w:numId w:val="3"/>
        </w:numPr>
        <w:autoSpaceDE w:val="0"/>
        <w:autoSpaceDN w:val="0"/>
        <w:spacing w:line="500" w:lineRule="exact"/>
        <w:ind w:firstLine="480"/>
        <w:rPr>
          <w:rFonts w:ascii="仿宋" w:hAnsi="仿宋" w:cs="Times New Roman"/>
          <w:color w:val="FF0000"/>
          <w:kern w:val="0"/>
          <w:szCs w:val="24"/>
        </w:rPr>
      </w:pPr>
      <w:r>
        <w:rPr>
          <w:rFonts w:hint="eastAsia" w:ascii="仿宋" w:hAnsi="仿宋" w:cs="Times New Roman"/>
          <w:kern w:val="0"/>
          <w:szCs w:val="24"/>
        </w:rPr>
        <w:t>竞赛场地安排</w:t>
      </w:r>
    </w:p>
    <w:p>
      <w:pPr>
        <w:ind w:firstLine="480"/>
        <w:rPr>
          <w:bCs/>
        </w:rPr>
      </w:pPr>
      <w:r>
        <w:rPr>
          <w:rFonts w:hint="eastAsia"/>
          <w:bCs/>
        </w:rPr>
        <w:t>竞赛现场设置竞赛区、裁判区、服务区、技术支持区。现场保证良好的采光、照明和通风；提供稳定的水、电和供电应急设备。同时提供所有指导教师休息室1 间。</w:t>
      </w:r>
    </w:p>
    <w:p>
      <w:pPr>
        <w:numPr>
          <w:ilvl w:val="0"/>
          <w:numId w:val="3"/>
        </w:numPr>
        <w:autoSpaceDE w:val="0"/>
        <w:autoSpaceDN w:val="0"/>
        <w:spacing w:line="500" w:lineRule="exact"/>
        <w:ind w:firstLine="480"/>
        <w:rPr>
          <w:rFonts w:ascii="仿宋" w:hAnsi="仿宋" w:cs="Times New Roman"/>
          <w:color w:val="FF0000"/>
          <w:kern w:val="0"/>
          <w:szCs w:val="24"/>
        </w:rPr>
      </w:pPr>
      <w:r>
        <w:rPr>
          <w:rFonts w:hint="eastAsia" w:ascii="仿宋" w:hAnsi="仿宋" w:cs="Times New Roman"/>
          <w:kern w:val="0"/>
          <w:szCs w:val="24"/>
        </w:rPr>
        <w:t>理论竞赛环境要求</w:t>
      </w:r>
    </w:p>
    <w:p>
      <w:pPr>
        <w:autoSpaceDE w:val="0"/>
        <w:autoSpaceDN w:val="0"/>
        <w:spacing w:line="500" w:lineRule="exact"/>
        <w:ind w:firstLine="480"/>
        <w:rPr>
          <w:rFonts w:ascii="仿宋" w:hAnsi="仿宋" w:cs="Times New Roman"/>
          <w:color w:val="FF0000"/>
          <w:kern w:val="0"/>
          <w:szCs w:val="24"/>
        </w:rPr>
      </w:pPr>
      <w:r>
        <w:rPr>
          <w:rFonts w:hint="eastAsia"/>
          <w:bCs/>
        </w:rPr>
        <w:t>承办校所提供的理论竞赛场地为计算机机房，具有良好照明和通风条件的室内场地，每个机位之间要有隔板、标明编号。每个机房配有1名技术支持人员。</w:t>
      </w:r>
    </w:p>
    <w:p>
      <w:pPr>
        <w:ind w:firstLine="480"/>
        <w:rPr>
          <w:bCs/>
        </w:rPr>
      </w:pPr>
      <w:r>
        <w:rPr>
          <w:rFonts w:hint="eastAsia"/>
          <w:bCs/>
        </w:rPr>
        <w:t>（三）技能竞赛环境要求</w:t>
      </w:r>
    </w:p>
    <w:p>
      <w:pPr>
        <w:ind w:firstLine="480"/>
        <w:rPr>
          <w:bCs/>
        </w:rPr>
      </w:pPr>
      <w:r>
        <w:rPr>
          <w:rFonts w:hint="eastAsia"/>
          <w:bCs/>
        </w:rPr>
        <w:t>承办校所提供的技能竞赛场地须为地面平整、具有良好照明和通风条件的室内场地，场地净高应不低于3.5m。每个竞赛工位须提供独立的电源，其供电负荷不小于3kW，且提供安全的接地保护设施，每个工位净面积不得小于15m</w:t>
      </w:r>
      <w:r>
        <w:rPr>
          <w:rFonts w:hint="eastAsia"/>
          <w:bCs/>
          <w:vertAlign w:val="superscript"/>
        </w:rPr>
        <w:t>2</w:t>
      </w:r>
      <w:r>
        <w:rPr>
          <w:rFonts w:hint="eastAsia"/>
          <w:bCs/>
        </w:rPr>
        <w:t>,赛场内通道宽度不得低于2.5m。每个比赛工位上标明编号，配有工作台，用于摆放计算机和其它调试设备工具等，配备2 把工作椅（凳）。每1</w:t>
      </w:r>
      <w:r>
        <w:rPr>
          <w:bCs/>
        </w:rPr>
        <w:t>0</w:t>
      </w:r>
      <w:r>
        <w:rPr>
          <w:rFonts w:hint="eastAsia"/>
          <w:bCs/>
        </w:rPr>
        <w:t>个工位配</w:t>
      </w:r>
      <w:r>
        <w:rPr>
          <w:bCs/>
        </w:rPr>
        <w:t>1</w:t>
      </w:r>
      <w:r>
        <w:rPr>
          <w:rFonts w:hint="eastAsia"/>
          <w:bCs/>
        </w:rPr>
        <w:t>位现场技术支持人员。</w:t>
      </w:r>
    </w:p>
    <w:p>
      <w:pPr>
        <w:ind w:firstLine="480"/>
        <w:rPr>
          <w:bCs/>
        </w:rPr>
      </w:pPr>
      <w:r>
        <w:rPr>
          <w:rFonts w:hint="eastAsia"/>
          <w:bCs/>
        </w:rPr>
        <w:t>（四）医疗服务及要求</w:t>
      </w:r>
    </w:p>
    <w:p>
      <w:pPr>
        <w:ind w:firstLine="480"/>
        <w:rPr>
          <w:bCs/>
        </w:rPr>
      </w:pPr>
      <w:r>
        <w:rPr>
          <w:bCs/>
        </w:rPr>
        <w:tab/>
      </w:r>
      <w:r>
        <w:rPr>
          <w:rFonts w:hint="eastAsia"/>
          <w:bCs/>
        </w:rPr>
        <w:t>赛场配有1名医生，为参赛队员提供应急理疗服务。</w:t>
      </w:r>
    </w:p>
    <w:p>
      <w:pPr>
        <w:ind w:firstLine="480"/>
        <w:rPr>
          <w:bCs/>
        </w:rPr>
      </w:pPr>
      <w:r>
        <w:rPr>
          <w:rFonts w:hint="eastAsia"/>
          <w:bCs/>
        </w:rPr>
        <w:t>（五）裁判员工作场所及要求</w:t>
      </w:r>
    </w:p>
    <w:p>
      <w:pPr>
        <w:ind w:firstLine="480"/>
        <w:rPr>
          <w:bCs/>
        </w:rPr>
      </w:pPr>
      <w:r>
        <w:rPr>
          <w:bCs/>
        </w:rPr>
        <w:tab/>
      </w:r>
      <w:r>
        <w:rPr>
          <w:rFonts w:hint="eastAsia"/>
          <w:bCs/>
        </w:rPr>
        <w:t>提供评分裁判休息室1间，配有打印机</w:t>
      </w:r>
      <w:r>
        <w:rPr>
          <w:bCs/>
        </w:rPr>
        <w:t>1</w:t>
      </w:r>
      <w:r>
        <w:rPr>
          <w:rFonts w:hint="eastAsia"/>
          <w:bCs/>
        </w:rPr>
        <w:t>台和充足的打印纸。</w:t>
      </w:r>
    </w:p>
    <w:p>
      <w:pPr>
        <w:ind w:firstLine="480"/>
        <w:rPr>
          <w:bCs/>
        </w:rPr>
      </w:pPr>
      <w:r>
        <w:rPr>
          <w:rFonts w:hint="eastAsia"/>
          <w:bCs/>
        </w:rPr>
        <w:t>（六）赛场保密场所及要求</w:t>
      </w:r>
    </w:p>
    <w:p>
      <w:pPr>
        <w:ind w:firstLine="480"/>
        <w:rPr>
          <w:bCs/>
        </w:rPr>
      </w:pPr>
      <w:r>
        <w:rPr>
          <w:bCs/>
        </w:rPr>
        <w:tab/>
      </w:r>
      <w:r>
        <w:rPr>
          <w:rFonts w:hint="eastAsia"/>
          <w:bCs/>
        </w:rPr>
        <w:t>提供一次加密裁判和二次加密裁判休息室各1间。</w:t>
      </w:r>
    </w:p>
    <w:p>
      <w:pPr>
        <w:ind w:firstLine="480"/>
        <w:rPr>
          <w:bCs/>
        </w:rPr>
      </w:pPr>
      <w:r>
        <w:rPr>
          <w:rFonts w:hint="eastAsia"/>
          <w:bCs/>
        </w:rPr>
        <w:t>（七）赛场摄像头安装要求</w:t>
      </w:r>
    </w:p>
    <w:p>
      <w:pPr>
        <w:ind w:firstLine="480"/>
        <w:rPr>
          <w:bCs/>
        </w:rPr>
      </w:pPr>
      <w:r>
        <w:rPr>
          <w:rFonts w:hint="eastAsia"/>
          <w:bCs/>
        </w:rPr>
        <w:t>比赛现场合理安装摄像头，可以实况转播比赛过程，领导、嘉宾、领导、教练等可在休息室观看。</w:t>
      </w:r>
    </w:p>
    <w:p>
      <w:pPr>
        <w:ind w:firstLine="480"/>
        <w:rPr>
          <w:bCs/>
        </w:rPr>
      </w:pPr>
      <w:r>
        <w:rPr>
          <w:rFonts w:hint="eastAsia"/>
          <w:bCs/>
        </w:rPr>
        <w:t>（八）其他需要说明的内容</w:t>
      </w:r>
    </w:p>
    <w:p>
      <w:pPr>
        <w:ind w:firstLine="480"/>
        <w:rPr>
          <w:bCs/>
        </w:rPr>
      </w:pPr>
      <w:r>
        <w:rPr>
          <w:rFonts w:hint="eastAsia"/>
          <w:bCs/>
        </w:rPr>
        <w:t>承办校须根据比赛报名情况落实竞赛场地，根据疫情防控要求，承办校需配置主赛场和备用赛场。</w:t>
      </w:r>
    </w:p>
    <w:p>
      <w:pPr>
        <w:ind w:firstLine="723" w:firstLineChars="300"/>
        <w:rPr>
          <w:rFonts w:ascii="仿宋" w:hAnsi="仿宋" w:cs="Times New Roman"/>
          <w:kern w:val="0"/>
          <w:szCs w:val="24"/>
        </w:rPr>
      </w:pPr>
      <w:r>
        <w:rPr>
          <w:rFonts w:hint="eastAsia" w:ascii="仿宋" w:hAnsi="仿宋" w:cs="仿宋"/>
          <w:b/>
          <w:szCs w:val="24"/>
        </w:rPr>
        <w:t>九、技术规范</w:t>
      </w:r>
    </w:p>
    <w:p>
      <w:pPr>
        <w:pStyle w:val="4"/>
        <w:kinsoku w:val="0"/>
        <w:overflowPunct w:val="0"/>
        <w:spacing w:line="408" w:lineRule="auto"/>
        <w:ind w:firstLine="496" w:firstLineChars="200"/>
        <w:rPr>
          <w:spacing w:val="4"/>
          <w:sz w:val="24"/>
          <w:szCs w:val="24"/>
        </w:rPr>
      </w:pPr>
      <w:r>
        <w:rPr>
          <w:rFonts w:hint="eastAsia"/>
          <w:spacing w:val="4"/>
          <w:sz w:val="24"/>
          <w:szCs w:val="24"/>
        </w:rPr>
        <w:t>竞赛项目的命题结合企业职业岗位对人才培养需求，并符合相应的国家的技术规范。</w:t>
      </w:r>
    </w:p>
    <w:p>
      <w:pPr>
        <w:pStyle w:val="4"/>
        <w:kinsoku w:val="0"/>
        <w:overflowPunct w:val="0"/>
        <w:spacing w:line="408" w:lineRule="auto"/>
        <w:ind w:firstLine="496" w:firstLineChars="200"/>
        <w:rPr>
          <w:spacing w:val="4"/>
          <w:sz w:val="24"/>
          <w:szCs w:val="24"/>
        </w:rPr>
      </w:pPr>
      <w:r>
        <w:rPr>
          <w:rFonts w:hint="eastAsia"/>
          <w:spacing w:val="4"/>
          <w:sz w:val="24"/>
          <w:szCs w:val="24"/>
        </w:rPr>
        <w:t>1.《物联网安装调试员国家职业技能标准》</w:t>
      </w:r>
    </w:p>
    <w:p>
      <w:pPr>
        <w:pStyle w:val="4"/>
        <w:kinsoku w:val="0"/>
        <w:overflowPunct w:val="0"/>
        <w:spacing w:line="408" w:lineRule="auto"/>
        <w:ind w:firstLine="496" w:firstLineChars="200"/>
        <w:rPr>
          <w:spacing w:val="4"/>
          <w:sz w:val="24"/>
          <w:szCs w:val="24"/>
        </w:rPr>
      </w:pPr>
      <w:r>
        <w:rPr>
          <w:spacing w:val="4"/>
          <w:sz w:val="24"/>
          <w:szCs w:val="24"/>
        </w:rPr>
        <w:t xml:space="preserve">2.GB/T 33474-2016 </w:t>
      </w:r>
      <w:r>
        <w:rPr>
          <w:rFonts w:hint="eastAsia"/>
          <w:spacing w:val="4"/>
          <w:sz w:val="24"/>
          <w:szCs w:val="24"/>
        </w:rPr>
        <w:t>物联网参考体系结构</w:t>
      </w:r>
    </w:p>
    <w:p>
      <w:pPr>
        <w:pStyle w:val="4"/>
        <w:kinsoku w:val="0"/>
        <w:overflowPunct w:val="0"/>
        <w:spacing w:line="408" w:lineRule="auto"/>
        <w:ind w:firstLine="496" w:firstLineChars="200"/>
        <w:rPr>
          <w:spacing w:val="4"/>
          <w:sz w:val="24"/>
          <w:szCs w:val="24"/>
        </w:rPr>
      </w:pPr>
      <w:r>
        <w:rPr>
          <w:spacing w:val="4"/>
          <w:sz w:val="24"/>
          <w:szCs w:val="24"/>
        </w:rPr>
        <w:t>3</w:t>
      </w:r>
      <w:r>
        <w:rPr>
          <w:rFonts w:hint="eastAsia"/>
          <w:spacing w:val="4"/>
          <w:sz w:val="24"/>
          <w:szCs w:val="24"/>
        </w:rPr>
        <w:t>.</w:t>
      </w:r>
      <w:r>
        <w:rPr>
          <w:spacing w:val="4"/>
          <w:sz w:val="24"/>
          <w:szCs w:val="24"/>
        </w:rPr>
        <w:t xml:space="preserve">ISO/IEC 29182-5-2013 </w:t>
      </w:r>
      <w:r>
        <w:rPr>
          <w:rFonts w:hint="eastAsia"/>
          <w:spacing w:val="4"/>
          <w:sz w:val="24"/>
          <w:szCs w:val="24"/>
        </w:rPr>
        <w:t>信息技术</w:t>
      </w:r>
      <w:r>
        <w:rPr>
          <w:spacing w:val="4"/>
          <w:sz w:val="24"/>
          <w:szCs w:val="24"/>
        </w:rPr>
        <w:t>-</w:t>
      </w:r>
      <w:r>
        <w:rPr>
          <w:rFonts w:hint="eastAsia"/>
          <w:spacing w:val="4"/>
          <w:sz w:val="24"/>
          <w:szCs w:val="24"/>
        </w:rPr>
        <w:t>传感器网络：传感器网络参考</w:t>
      </w:r>
      <w:r>
        <w:rPr>
          <w:spacing w:val="4"/>
          <w:sz w:val="24"/>
          <w:szCs w:val="24"/>
        </w:rPr>
        <w:t xml:space="preserve"> </w:t>
      </w:r>
      <w:r>
        <w:rPr>
          <w:rFonts w:hint="eastAsia"/>
          <w:spacing w:val="4"/>
          <w:sz w:val="24"/>
          <w:szCs w:val="24"/>
        </w:rPr>
        <w:t>体系结构</w:t>
      </w:r>
    </w:p>
    <w:p>
      <w:pPr>
        <w:pStyle w:val="4"/>
        <w:kinsoku w:val="0"/>
        <w:overflowPunct w:val="0"/>
        <w:spacing w:line="408" w:lineRule="auto"/>
        <w:ind w:firstLine="496" w:firstLineChars="200"/>
        <w:rPr>
          <w:spacing w:val="4"/>
          <w:sz w:val="24"/>
          <w:szCs w:val="24"/>
        </w:rPr>
      </w:pPr>
      <w:r>
        <w:rPr>
          <w:spacing w:val="4"/>
          <w:sz w:val="24"/>
          <w:szCs w:val="24"/>
        </w:rPr>
        <w:t>4</w:t>
      </w:r>
      <w:r>
        <w:rPr>
          <w:rFonts w:hint="eastAsia"/>
          <w:spacing w:val="4"/>
          <w:sz w:val="24"/>
          <w:szCs w:val="24"/>
        </w:rPr>
        <w:t>.</w:t>
      </w:r>
      <w:r>
        <w:rPr>
          <w:spacing w:val="4"/>
          <w:sz w:val="24"/>
          <w:szCs w:val="24"/>
        </w:rPr>
        <w:t xml:space="preserve">GB 50311-2016 </w:t>
      </w:r>
      <w:r>
        <w:rPr>
          <w:rFonts w:hint="eastAsia"/>
          <w:spacing w:val="4"/>
          <w:sz w:val="24"/>
          <w:szCs w:val="24"/>
        </w:rPr>
        <w:t>综合布线系统工程设计规范</w:t>
      </w:r>
    </w:p>
    <w:p>
      <w:pPr>
        <w:pStyle w:val="4"/>
        <w:kinsoku w:val="0"/>
        <w:overflowPunct w:val="0"/>
        <w:spacing w:line="408" w:lineRule="auto"/>
        <w:ind w:firstLine="496" w:firstLineChars="200"/>
        <w:rPr>
          <w:spacing w:val="4"/>
          <w:sz w:val="24"/>
          <w:szCs w:val="24"/>
        </w:rPr>
      </w:pPr>
      <w:r>
        <w:rPr>
          <w:spacing w:val="4"/>
          <w:sz w:val="24"/>
          <w:szCs w:val="24"/>
        </w:rPr>
        <w:t>5</w:t>
      </w:r>
      <w:r>
        <w:rPr>
          <w:rFonts w:hint="eastAsia"/>
          <w:spacing w:val="4"/>
          <w:sz w:val="24"/>
          <w:szCs w:val="24"/>
        </w:rPr>
        <w:t>.</w:t>
      </w:r>
      <w:r>
        <w:rPr>
          <w:spacing w:val="4"/>
          <w:sz w:val="24"/>
          <w:szCs w:val="24"/>
        </w:rPr>
        <w:t xml:space="preserve">GB21671-2008 </w:t>
      </w:r>
      <w:r>
        <w:rPr>
          <w:rFonts w:hint="eastAsia"/>
          <w:spacing w:val="4"/>
          <w:sz w:val="24"/>
          <w:szCs w:val="24"/>
        </w:rPr>
        <w:t>基于以太网技术的局域网系统验收测评规范</w:t>
      </w:r>
      <w:r>
        <w:rPr>
          <w:spacing w:val="4"/>
          <w:sz w:val="24"/>
          <w:szCs w:val="24"/>
        </w:rPr>
        <w:t xml:space="preserve"> </w:t>
      </w:r>
    </w:p>
    <w:p>
      <w:pPr>
        <w:pStyle w:val="4"/>
        <w:kinsoku w:val="0"/>
        <w:overflowPunct w:val="0"/>
        <w:spacing w:line="408" w:lineRule="auto"/>
        <w:ind w:firstLine="496" w:firstLineChars="200"/>
        <w:rPr>
          <w:spacing w:val="4"/>
          <w:sz w:val="24"/>
          <w:szCs w:val="24"/>
        </w:rPr>
      </w:pPr>
      <w:r>
        <w:rPr>
          <w:spacing w:val="4"/>
          <w:sz w:val="24"/>
          <w:szCs w:val="24"/>
        </w:rPr>
        <w:t>6</w:t>
      </w:r>
      <w:r>
        <w:rPr>
          <w:rFonts w:hint="eastAsia"/>
          <w:spacing w:val="4"/>
          <w:sz w:val="24"/>
          <w:szCs w:val="24"/>
        </w:rPr>
        <w:t>.</w:t>
      </w:r>
      <w:r>
        <w:rPr>
          <w:spacing w:val="4"/>
          <w:sz w:val="24"/>
          <w:szCs w:val="24"/>
        </w:rPr>
        <w:t xml:space="preserve">GB/T 34068-2017 </w:t>
      </w:r>
      <w:r>
        <w:rPr>
          <w:rFonts w:hint="eastAsia"/>
          <w:spacing w:val="4"/>
          <w:sz w:val="24"/>
          <w:szCs w:val="24"/>
        </w:rPr>
        <w:t>物联网总体技术智能传感器接口规范</w:t>
      </w:r>
      <w:r>
        <w:rPr>
          <w:spacing w:val="4"/>
          <w:sz w:val="24"/>
          <w:szCs w:val="24"/>
        </w:rPr>
        <w:t xml:space="preserve"> </w:t>
      </w:r>
    </w:p>
    <w:p>
      <w:pPr>
        <w:pStyle w:val="4"/>
        <w:kinsoku w:val="0"/>
        <w:overflowPunct w:val="0"/>
        <w:spacing w:line="408" w:lineRule="auto"/>
        <w:ind w:firstLine="496" w:firstLineChars="200"/>
        <w:rPr>
          <w:spacing w:val="4"/>
          <w:sz w:val="24"/>
          <w:szCs w:val="24"/>
        </w:rPr>
      </w:pPr>
      <w:r>
        <w:rPr>
          <w:spacing w:val="4"/>
          <w:sz w:val="24"/>
          <w:szCs w:val="24"/>
        </w:rPr>
        <w:t>7</w:t>
      </w:r>
      <w:r>
        <w:rPr>
          <w:rFonts w:hint="eastAsia"/>
          <w:spacing w:val="4"/>
          <w:sz w:val="24"/>
          <w:szCs w:val="24"/>
        </w:rPr>
        <w:t>.</w:t>
      </w:r>
      <w:r>
        <w:rPr>
          <w:spacing w:val="4"/>
          <w:sz w:val="24"/>
          <w:szCs w:val="24"/>
        </w:rPr>
        <w:t xml:space="preserve">GB/T 33745-2017 </w:t>
      </w:r>
      <w:r>
        <w:rPr>
          <w:rFonts w:hint="eastAsia"/>
          <w:spacing w:val="4"/>
          <w:sz w:val="24"/>
          <w:szCs w:val="24"/>
        </w:rPr>
        <w:t>物联网术语</w:t>
      </w:r>
    </w:p>
    <w:p>
      <w:pPr>
        <w:ind w:left="480" w:leftChars="200" w:firstLine="0" w:firstLineChars="0"/>
        <w:rPr>
          <w:rFonts w:ascii="仿宋" w:hAnsi="仿宋" w:cs="仿宋"/>
          <w:bCs/>
          <w:color w:val="FF0000"/>
          <w:szCs w:val="24"/>
        </w:rPr>
      </w:pPr>
      <w:r>
        <w:rPr>
          <w:rFonts w:hint="eastAsia" w:ascii="仿宋" w:hAnsi="仿宋" w:cs="仿宋"/>
          <w:b/>
          <w:szCs w:val="24"/>
        </w:rPr>
        <w:t>十、技术平台</w:t>
      </w:r>
    </w:p>
    <w:p>
      <w:pPr>
        <w:ind w:firstLine="480"/>
        <w:rPr>
          <w:bCs/>
        </w:rPr>
      </w:pPr>
      <w:r>
        <w:rPr>
          <w:bCs/>
        </w:rPr>
        <w:t>（一）竞赛设备、设施、附件</w:t>
      </w:r>
    </w:p>
    <w:p>
      <w:pPr>
        <w:ind w:firstLine="720" w:firstLineChars="300"/>
        <w:rPr>
          <w:bCs/>
        </w:rPr>
      </w:pPr>
      <w:r>
        <w:rPr>
          <w:rFonts w:hint="eastAsia"/>
          <w:bCs/>
        </w:rPr>
        <w:t>1</w:t>
      </w:r>
      <w:r>
        <w:rPr>
          <w:bCs/>
        </w:rPr>
        <w:t>.</w:t>
      </w:r>
      <w:r>
        <w:rPr>
          <w:rFonts w:hint="eastAsia"/>
          <w:bCs/>
        </w:rPr>
        <w:t>个人计算机（</w:t>
      </w:r>
      <w:r>
        <w:rPr>
          <w:bCs/>
        </w:rPr>
        <w:t xml:space="preserve">PC </w:t>
      </w:r>
      <w:r>
        <w:rPr>
          <w:rFonts w:hint="eastAsia"/>
          <w:bCs/>
        </w:rPr>
        <w:t>机），每个工位2台，配置不低于以下参数。</w:t>
      </w:r>
    </w:p>
    <w:p>
      <w:pPr>
        <w:ind w:firstLine="480"/>
        <w:rPr>
          <w:bCs/>
        </w:rPr>
      </w:pPr>
      <w:r>
        <w:rPr>
          <w:rFonts w:hint="eastAsia"/>
          <w:bCs/>
        </w:rPr>
        <w:t>（1）</w:t>
      </w:r>
      <w:r>
        <w:rPr>
          <w:bCs/>
        </w:rPr>
        <w:t>CPU</w:t>
      </w:r>
      <w:r>
        <w:rPr>
          <w:rFonts w:hint="eastAsia"/>
          <w:bCs/>
        </w:rPr>
        <w:t>：</w:t>
      </w:r>
      <w:r>
        <w:rPr>
          <w:bCs/>
        </w:rPr>
        <w:t>Intel i5</w:t>
      </w:r>
      <w:r>
        <w:rPr>
          <w:rFonts w:hint="eastAsia"/>
          <w:bCs/>
        </w:rPr>
        <w:t>；</w:t>
      </w:r>
    </w:p>
    <w:p>
      <w:pPr>
        <w:ind w:firstLine="480"/>
        <w:rPr>
          <w:bCs/>
        </w:rPr>
      </w:pPr>
      <w:r>
        <w:rPr>
          <w:rFonts w:hint="eastAsia"/>
          <w:bCs/>
        </w:rPr>
        <w:t>（2）内存容量：</w:t>
      </w:r>
      <w:r>
        <w:rPr>
          <w:bCs/>
        </w:rPr>
        <w:t>8G</w:t>
      </w:r>
      <w:r>
        <w:rPr>
          <w:rFonts w:hint="eastAsia"/>
          <w:bCs/>
        </w:rPr>
        <w:t>；</w:t>
      </w:r>
    </w:p>
    <w:p>
      <w:pPr>
        <w:ind w:firstLine="480"/>
        <w:rPr>
          <w:bCs/>
        </w:rPr>
      </w:pPr>
      <w:r>
        <w:rPr>
          <w:rFonts w:hint="eastAsia"/>
          <w:bCs/>
        </w:rPr>
        <w:t>（3）硬盘：</w:t>
      </w:r>
      <w:r>
        <w:rPr>
          <w:bCs/>
        </w:rPr>
        <w:t xml:space="preserve">256G </w:t>
      </w:r>
      <w:r>
        <w:rPr>
          <w:rFonts w:hint="eastAsia"/>
          <w:bCs/>
        </w:rPr>
        <w:t>固态盘；</w:t>
      </w:r>
    </w:p>
    <w:p>
      <w:pPr>
        <w:ind w:firstLine="480"/>
        <w:rPr>
          <w:bCs/>
        </w:rPr>
      </w:pPr>
      <w:r>
        <w:rPr>
          <w:rFonts w:hint="eastAsia"/>
          <w:bCs/>
        </w:rPr>
        <w:t>（4）接口：</w:t>
      </w:r>
      <w:r>
        <w:rPr>
          <w:bCs/>
        </w:rPr>
        <w:t xml:space="preserve">1 </w:t>
      </w:r>
      <w:r>
        <w:rPr>
          <w:rFonts w:hint="eastAsia"/>
          <w:bCs/>
        </w:rPr>
        <w:t>个串口，</w:t>
      </w:r>
      <w:r>
        <w:rPr>
          <w:bCs/>
        </w:rPr>
        <w:t xml:space="preserve">4 </w:t>
      </w:r>
      <w:r>
        <w:rPr>
          <w:rFonts w:hint="eastAsia"/>
          <w:bCs/>
        </w:rPr>
        <w:t>个</w:t>
      </w:r>
      <w:r>
        <w:rPr>
          <w:bCs/>
        </w:rPr>
        <w:t xml:space="preserve"> USB </w:t>
      </w:r>
      <w:r>
        <w:rPr>
          <w:rFonts w:hint="eastAsia"/>
          <w:bCs/>
        </w:rPr>
        <w:t>端口。</w:t>
      </w:r>
    </w:p>
    <w:p>
      <w:pPr>
        <w:ind w:firstLine="480"/>
        <w:rPr>
          <w:bCs/>
        </w:rPr>
      </w:pPr>
      <w:r>
        <w:rPr>
          <w:rFonts w:hint="eastAsia"/>
          <w:bCs/>
        </w:rPr>
        <w:t>2</w:t>
      </w:r>
      <w:r>
        <w:rPr>
          <w:bCs/>
        </w:rPr>
        <w:t>.</w:t>
      </w:r>
      <w:r>
        <w:rPr>
          <w:rFonts w:hint="eastAsia"/>
          <w:bCs/>
        </w:rPr>
        <w:t>竞赛设备</w:t>
      </w:r>
    </w:p>
    <w:tbl>
      <w:tblPr>
        <w:tblStyle w:val="8"/>
        <w:tblW w:w="0" w:type="auto"/>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
        <w:gridCol w:w="687"/>
        <w:gridCol w:w="992"/>
        <w:gridCol w:w="5065"/>
        <w:gridCol w:w="465"/>
        <w:gridCol w:w="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序号</w:t>
            </w:r>
          </w:p>
        </w:tc>
        <w:tc>
          <w:tcPr>
            <w:tcW w:w="687"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设备类别</w:t>
            </w:r>
          </w:p>
        </w:tc>
        <w:tc>
          <w:tcPr>
            <w:tcW w:w="992"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名称</w:t>
            </w:r>
          </w:p>
        </w:tc>
        <w:tc>
          <w:tcPr>
            <w:tcW w:w="5065"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设备参数</w:t>
            </w:r>
          </w:p>
        </w:tc>
        <w:tc>
          <w:tcPr>
            <w:tcW w:w="465" w:type="dxa"/>
            <w:vAlign w:val="center"/>
          </w:tcPr>
          <w:p>
            <w:pPr>
              <w:pStyle w:val="4"/>
              <w:kinsoku w:val="0"/>
              <w:overflowPunct w:val="0"/>
              <w:spacing w:line="400" w:lineRule="exact"/>
              <w:ind w:left="0"/>
              <w:jc w:val="center"/>
              <w:rPr>
                <w:b/>
                <w:bCs/>
                <w:spacing w:val="4"/>
                <w:sz w:val="21"/>
                <w:szCs w:val="21"/>
              </w:rPr>
            </w:pPr>
            <w:r>
              <w:rPr>
                <w:rFonts w:hint="eastAsia"/>
                <w:b/>
                <w:bCs/>
                <w:spacing w:val="4"/>
                <w:sz w:val="21"/>
                <w:szCs w:val="21"/>
              </w:rPr>
              <w:t>单位</w:t>
            </w:r>
          </w:p>
        </w:tc>
        <w:tc>
          <w:tcPr>
            <w:tcW w:w="507" w:type="dxa"/>
            <w:vAlign w:val="center"/>
          </w:tcPr>
          <w:p>
            <w:pPr>
              <w:pStyle w:val="4"/>
              <w:kinsoku w:val="0"/>
              <w:overflowPunct w:val="0"/>
              <w:spacing w:line="400" w:lineRule="exact"/>
              <w:ind w:left="0"/>
              <w:jc w:val="center"/>
              <w:rPr>
                <w:b/>
                <w:bCs/>
                <w:spacing w:val="4"/>
                <w:sz w:val="21"/>
                <w:szCs w:val="21"/>
              </w:rPr>
            </w:pPr>
            <w:r>
              <w:rPr>
                <w:rFonts w:hint="eastAsia"/>
                <w:b/>
                <w:bCs/>
                <w:spacing w:val="4"/>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1</w:t>
            </w:r>
          </w:p>
        </w:tc>
        <w:tc>
          <w:tcPr>
            <w:tcW w:w="687"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软件</w:t>
            </w:r>
          </w:p>
        </w:tc>
        <w:tc>
          <w:tcPr>
            <w:tcW w:w="992"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物联网平台</w:t>
            </w:r>
          </w:p>
        </w:tc>
        <w:tc>
          <w:tcPr>
            <w:tcW w:w="5065" w:type="dxa"/>
            <w:vAlign w:val="center"/>
          </w:tcPr>
          <w:p>
            <w:pPr>
              <w:pStyle w:val="4"/>
              <w:kinsoku w:val="0"/>
              <w:overflowPunct w:val="0"/>
              <w:spacing w:line="400" w:lineRule="exact"/>
              <w:jc w:val="both"/>
              <w:rPr>
                <w:spacing w:val="4"/>
                <w:sz w:val="21"/>
                <w:szCs w:val="21"/>
              </w:rPr>
            </w:pPr>
            <w:r>
              <w:rPr>
                <w:rFonts w:hint="eastAsia"/>
                <w:spacing w:val="4"/>
                <w:sz w:val="21"/>
                <w:szCs w:val="21"/>
              </w:rPr>
              <w:t>可通过</w:t>
            </w:r>
            <w:r>
              <w:rPr>
                <w:spacing w:val="4"/>
                <w:sz w:val="21"/>
                <w:szCs w:val="21"/>
              </w:rPr>
              <w:t>PC机、智能终端等设备的浏览器登录的物联网平台；</w:t>
            </w:r>
          </w:p>
          <w:p>
            <w:pPr>
              <w:pStyle w:val="4"/>
              <w:kinsoku w:val="0"/>
              <w:overflowPunct w:val="0"/>
              <w:spacing w:line="400" w:lineRule="exact"/>
              <w:jc w:val="both"/>
              <w:rPr>
                <w:spacing w:val="4"/>
                <w:sz w:val="21"/>
                <w:szCs w:val="21"/>
              </w:rPr>
            </w:pPr>
            <w:r>
              <w:rPr>
                <w:rFonts w:hint="eastAsia"/>
                <w:spacing w:val="4"/>
                <w:sz w:val="21"/>
                <w:szCs w:val="21"/>
              </w:rPr>
              <w:t>具备项目管理功能，提供定制化的项目中心进行集中管理；</w:t>
            </w:r>
          </w:p>
          <w:p>
            <w:pPr>
              <w:pStyle w:val="4"/>
              <w:kinsoku w:val="0"/>
              <w:overflowPunct w:val="0"/>
              <w:spacing w:line="400" w:lineRule="exact"/>
              <w:jc w:val="both"/>
              <w:rPr>
                <w:spacing w:val="4"/>
                <w:sz w:val="21"/>
                <w:szCs w:val="21"/>
              </w:rPr>
            </w:pPr>
            <w:r>
              <w:rPr>
                <w:rFonts w:hint="eastAsia"/>
                <w:spacing w:val="4"/>
                <w:sz w:val="21"/>
                <w:szCs w:val="21"/>
              </w:rPr>
              <w:t>支持多种常见物联网应用场景，如监测与控制等应用系统；</w:t>
            </w:r>
          </w:p>
          <w:p>
            <w:pPr>
              <w:pStyle w:val="4"/>
              <w:kinsoku w:val="0"/>
              <w:overflowPunct w:val="0"/>
              <w:spacing w:line="400" w:lineRule="exact"/>
              <w:jc w:val="both"/>
              <w:rPr>
                <w:spacing w:val="4"/>
                <w:sz w:val="21"/>
                <w:szCs w:val="21"/>
              </w:rPr>
            </w:pPr>
            <w:r>
              <w:rPr>
                <w:rFonts w:hint="eastAsia"/>
                <w:spacing w:val="4"/>
                <w:sz w:val="21"/>
                <w:szCs w:val="21"/>
              </w:rPr>
              <w:t>提供开放接口，支持物联网网关等智能设备接入，并支持设备管理和编辑等功能；</w:t>
            </w:r>
          </w:p>
          <w:p>
            <w:pPr>
              <w:pStyle w:val="4"/>
              <w:kinsoku w:val="0"/>
              <w:overflowPunct w:val="0"/>
              <w:spacing w:line="400" w:lineRule="exact"/>
              <w:jc w:val="both"/>
              <w:rPr>
                <w:spacing w:val="4"/>
                <w:sz w:val="21"/>
                <w:szCs w:val="21"/>
              </w:rPr>
            </w:pPr>
            <w:r>
              <w:rPr>
                <w:rFonts w:hint="eastAsia"/>
                <w:spacing w:val="4"/>
                <w:sz w:val="21"/>
                <w:szCs w:val="21"/>
              </w:rPr>
              <w:t>支持接入行业中常见的物联网传感节点，包括</w:t>
            </w:r>
            <w:r>
              <w:rPr>
                <w:spacing w:val="4"/>
                <w:sz w:val="21"/>
                <w:szCs w:val="21"/>
              </w:rPr>
              <w:t>Modbus、Zigbee、LoRa等；</w:t>
            </w:r>
          </w:p>
          <w:p>
            <w:pPr>
              <w:pStyle w:val="4"/>
              <w:kinsoku w:val="0"/>
              <w:overflowPunct w:val="0"/>
              <w:spacing w:line="400" w:lineRule="exact"/>
              <w:jc w:val="both"/>
              <w:rPr>
                <w:spacing w:val="4"/>
                <w:sz w:val="21"/>
                <w:szCs w:val="21"/>
              </w:rPr>
            </w:pPr>
            <w:r>
              <w:rPr>
                <w:rFonts w:hint="eastAsia"/>
                <w:spacing w:val="4"/>
                <w:sz w:val="21"/>
                <w:szCs w:val="21"/>
              </w:rPr>
              <w:t>支持上传行业中常见的传感器数据，包括温度、湿度、二氧化碳、光照、风速、空气质量、重力、可燃气体、火焰、烟雾、人体红外、开关等；</w:t>
            </w:r>
          </w:p>
          <w:p>
            <w:pPr>
              <w:pStyle w:val="4"/>
              <w:kinsoku w:val="0"/>
              <w:overflowPunct w:val="0"/>
              <w:spacing w:line="400" w:lineRule="exact"/>
              <w:jc w:val="both"/>
              <w:rPr>
                <w:spacing w:val="4"/>
                <w:sz w:val="21"/>
                <w:szCs w:val="21"/>
              </w:rPr>
            </w:pPr>
            <w:r>
              <w:rPr>
                <w:rFonts w:hint="eastAsia"/>
                <w:spacing w:val="4"/>
                <w:sz w:val="21"/>
                <w:szCs w:val="21"/>
              </w:rPr>
              <w:t>内置数据库，能够存储传感数据和设备状态数据；</w:t>
            </w:r>
          </w:p>
          <w:p>
            <w:pPr>
              <w:pStyle w:val="4"/>
              <w:kinsoku w:val="0"/>
              <w:overflowPunct w:val="0"/>
              <w:spacing w:line="400" w:lineRule="exact"/>
              <w:jc w:val="both"/>
              <w:rPr>
                <w:spacing w:val="4"/>
                <w:sz w:val="21"/>
                <w:szCs w:val="21"/>
              </w:rPr>
            </w:pPr>
            <w:r>
              <w:rPr>
                <w:rFonts w:hint="eastAsia"/>
                <w:spacing w:val="4"/>
                <w:sz w:val="21"/>
                <w:szCs w:val="21"/>
              </w:rPr>
              <w:t>支持查询设备的实时状态和历史状态；</w:t>
            </w:r>
          </w:p>
          <w:p>
            <w:pPr>
              <w:pStyle w:val="4"/>
              <w:kinsoku w:val="0"/>
              <w:overflowPunct w:val="0"/>
              <w:spacing w:line="400" w:lineRule="exact"/>
              <w:jc w:val="both"/>
              <w:rPr>
                <w:spacing w:val="4"/>
                <w:sz w:val="21"/>
                <w:szCs w:val="21"/>
              </w:rPr>
            </w:pPr>
            <w:r>
              <w:rPr>
                <w:rFonts w:hint="eastAsia"/>
                <w:spacing w:val="4"/>
                <w:sz w:val="21"/>
                <w:szCs w:val="21"/>
              </w:rPr>
              <w:t>支持查询传感器的实时数据和历史数据；</w:t>
            </w:r>
          </w:p>
          <w:p>
            <w:pPr>
              <w:pStyle w:val="4"/>
              <w:kinsoku w:val="0"/>
              <w:overflowPunct w:val="0"/>
              <w:spacing w:line="400" w:lineRule="exact"/>
              <w:jc w:val="both"/>
              <w:rPr>
                <w:spacing w:val="4"/>
                <w:sz w:val="21"/>
                <w:szCs w:val="21"/>
              </w:rPr>
            </w:pPr>
            <w:r>
              <w:rPr>
                <w:rFonts w:hint="eastAsia"/>
                <w:spacing w:val="4"/>
                <w:sz w:val="21"/>
                <w:szCs w:val="21"/>
              </w:rPr>
              <w:t>支持通过拖拽物联网设备图标以及基础元素图标（文本、图片、按钮、地图等）实现</w:t>
            </w:r>
            <w:r>
              <w:rPr>
                <w:spacing w:val="4"/>
                <w:sz w:val="21"/>
                <w:szCs w:val="21"/>
              </w:rPr>
              <w:t>WebAPP的页面布局设计；</w:t>
            </w:r>
          </w:p>
          <w:p>
            <w:pPr>
              <w:pStyle w:val="4"/>
              <w:kinsoku w:val="0"/>
              <w:overflowPunct w:val="0"/>
              <w:spacing w:line="400" w:lineRule="exact"/>
              <w:jc w:val="both"/>
              <w:rPr>
                <w:spacing w:val="4"/>
                <w:sz w:val="21"/>
                <w:szCs w:val="21"/>
              </w:rPr>
            </w:pPr>
            <w:r>
              <w:rPr>
                <w:rFonts w:hint="eastAsia"/>
                <w:spacing w:val="4"/>
                <w:sz w:val="21"/>
                <w:szCs w:val="21"/>
              </w:rPr>
              <w:t>支持可视化策略配置，策略可通过监测传感数据变化，设置触发条件实现对执行器的控制；支持通过可视化工具自定义生成数据图标，包括折线图、柱状图、饼图等；</w:t>
            </w:r>
          </w:p>
          <w:p>
            <w:pPr>
              <w:pStyle w:val="4"/>
              <w:kinsoku w:val="0"/>
              <w:overflowPunct w:val="0"/>
              <w:spacing w:line="400" w:lineRule="exact"/>
              <w:jc w:val="both"/>
              <w:rPr>
                <w:spacing w:val="4"/>
                <w:sz w:val="21"/>
                <w:szCs w:val="21"/>
              </w:rPr>
            </w:pPr>
            <w:r>
              <w:rPr>
                <w:rFonts w:hint="eastAsia"/>
                <w:spacing w:val="4"/>
                <w:sz w:val="21"/>
                <w:szCs w:val="21"/>
              </w:rPr>
              <w:t>支持通过图标、控件等查看传感器实时数据和历史数据，并通过按钮实现对执行器的控制；具备虚拟仿真工具，支持通过设备添加、电源连接、信号连接、参数配置等步骤搭建物联网传感网络；</w:t>
            </w:r>
          </w:p>
          <w:p>
            <w:pPr>
              <w:pStyle w:val="4"/>
              <w:kinsoku w:val="0"/>
              <w:overflowPunct w:val="0"/>
              <w:spacing w:line="400" w:lineRule="exact"/>
              <w:jc w:val="both"/>
              <w:rPr>
                <w:spacing w:val="4"/>
                <w:sz w:val="21"/>
                <w:szCs w:val="21"/>
              </w:rPr>
            </w:pPr>
            <w:r>
              <w:rPr>
                <w:rFonts w:hint="eastAsia"/>
                <w:spacing w:val="4"/>
                <w:sz w:val="21"/>
                <w:szCs w:val="21"/>
              </w:rPr>
              <w:t>虚拟仿真工具须包含行业中常见的传感器，至少包括：温度、湿度、二氧化碳、光照、风速、空气质量、重力、可燃气体、火焰、烟雾、人体红外、开关等；</w:t>
            </w:r>
          </w:p>
          <w:p>
            <w:pPr>
              <w:pStyle w:val="4"/>
              <w:kinsoku w:val="0"/>
              <w:overflowPunct w:val="0"/>
              <w:spacing w:line="400" w:lineRule="exact"/>
              <w:jc w:val="both"/>
              <w:rPr>
                <w:spacing w:val="4"/>
                <w:sz w:val="21"/>
                <w:szCs w:val="21"/>
              </w:rPr>
            </w:pPr>
            <w:r>
              <w:rPr>
                <w:rFonts w:hint="eastAsia"/>
                <w:spacing w:val="4"/>
                <w:sz w:val="21"/>
                <w:szCs w:val="21"/>
              </w:rPr>
              <w:t>虚拟仿真工具须包含行业中常见的传感网络节点，至少包括：</w:t>
            </w:r>
            <w:r>
              <w:rPr>
                <w:spacing w:val="4"/>
                <w:sz w:val="21"/>
                <w:szCs w:val="21"/>
              </w:rPr>
              <w:t>Modbus节点、Zigbee节点、LoRa节点；</w:t>
            </w:r>
          </w:p>
          <w:p>
            <w:pPr>
              <w:pStyle w:val="4"/>
              <w:kinsoku w:val="0"/>
              <w:overflowPunct w:val="0"/>
              <w:spacing w:line="400" w:lineRule="exact"/>
              <w:ind w:left="0"/>
              <w:jc w:val="both"/>
              <w:rPr>
                <w:spacing w:val="4"/>
                <w:sz w:val="21"/>
                <w:szCs w:val="21"/>
              </w:rPr>
            </w:pPr>
            <w:r>
              <w:rPr>
                <w:rFonts w:hint="eastAsia"/>
                <w:spacing w:val="4"/>
                <w:sz w:val="21"/>
                <w:szCs w:val="21"/>
              </w:rPr>
              <w:t>虚拟仿真工具须包含</w:t>
            </w:r>
            <w:r>
              <w:rPr>
                <w:spacing w:val="4"/>
                <w:sz w:val="21"/>
                <w:szCs w:val="21"/>
              </w:rPr>
              <w:t>RFID设备，至少包括低频、高频、超高频读写器以及相应的电子标签。</w:t>
            </w:r>
          </w:p>
        </w:tc>
        <w:tc>
          <w:tcPr>
            <w:tcW w:w="465"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套</w:t>
            </w:r>
          </w:p>
        </w:tc>
        <w:tc>
          <w:tcPr>
            <w:tcW w:w="507"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2</w:t>
            </w:r>
          </w:p>
        </w:tc>
        <w:tc>
          <w:tcPr>
            <w:tcW w:w="687"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硬件</w:t>
            </w:r>
          </w:p>
        </w:tc>
        <w:tc>
          <w:tcPr>
            <w:tcW w:w="992"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物联网设备搭建平台</w:t>
            </w:r>
          </w:p>
        </w:tc>
        <w:tc>
          <w:tcPr>
            <w:tcW w:w="5065" w:type="dxa"/>
            <w:vAlign w:val="center"/>
          </w:tcPr>
          <w:p>
            <w:pPr>
              <w:pStyle w:val="4"/>
              <w:kinsoku w:val="0"/>
              <w:overflowPunct w:val="0"/>
              <w:spacing w:line="400" w:lineRule="exact"/>
              <w:jc w:val="both"/>
              <w:rPr>
                <w:spacing w:val="4"/>
                <w:sz w:val="21"/>
                <w:szCs w:val="21"/>
              </w:rPr>
            </w:pPr>
            <w:r>
              <w:rPr>
                <w:spacing w:val="4"/>
                <w:sz w:val="21"/>
                <w:szCs w:val="21"/>
              </w:rPr>
              <w:t>1.配备三组网孔操作面板，用于部署各类物联网设备，搭建各种物联网应用场景，网孔板总面积不小于2M2 ；</w:t>
            </w:r>
          </w:p>
          <w:p>
            <w:pPr>
              <w:pStyle w:val="4"/>
              <w:kinsoku w:val="0"/>
              <w:overflowPunct w:val="0"/>
              <w:spacing w:line="400" w:lineRule="exact"/>
              <w:jc w:val="both"/>
              <w:rPr>
                <w:spacing w:val="4"/>
                <w:sz w:val="21"/>
                <w:szCs w:val="21"/>
              </w:rPr>
            </w:pPr>
            <w:r>
              <w:rPr>
                <w:spacing w:val="4"/>
                <w:sz w:val="21"/>
                <w:szCs w:val="21"/>
              </w:rPr>
              <w:t>2.配备强弱电供电系统，至少配备10个强电供电插座，且至少配有8组直流弱电（常用的5V、12V、24V）供电接口；</w:t>
            </w:r>
          </w:p>
          <w:p>
            <w:pPr>
              <w:pStyle w:val="4"/>
              <w:kinsoku w:val="0"/>
              <w:overflowPunct w:val="0"/>
              <w:spacing w:line="400" w:lineRule="exact"/>
              <w:jc w:val="both"/>
              <w:rPr>
                <w:spacing w:val="4"/>
                <w:sz w:val="21"/>
                <w:szCs w:val="21"/>
              </w:rPr>
            </w:pPr>
            <w:r>
              <w:rPr>
                <w:spacing w:val="4"/>
                <w:sz w:val="21"/>
                <w:szCs w:val="21"/>
              </w:rPr>
              <w:t>3.直流弱电供电系统具备短路保护系统，同一强度电压下直流弱电短路，该组电压直流弱电系统自动断电，排除短路后自动恢复供电，断电期间不影响其他组不同电压的直流弱电系统使用；</w:t>
            </w:r>
          </w:p>
          <w:p>
            <w:pPr>
              <w:pStyle w:val="4"/>
              <w:kinsoku w:val="0"/>
              <w:overflowPunct w:val="0"/>
              <w:spacing w:line="400" w:lineRule="exact"/>
              <w:jc w:val="both"/>
              <w:rPr>
                <w:spacing w:val="4"/>
                <w:sz w:val="21"/>
                <w:szCs w:val="21"/>
              </w:rPr>
            </w:pPr>
            <w:r>
              <w:rPr>
                <w:spacing w:val="4"/>
                <w:sz w:val="21"/>
                <w:szCs w:val="21"/>
              </w:rPr>
              <w:t>4.配备安全配电箱，带有空气开关及漏电保护系统，一路电源输入、一路开关总控，确保系统使用安全可靠；</w:t>
            </w:r>
          </w:p>
          <w:p>
            <w:pPr>
              <w:pStyle w:val="4"/>
              <w:kinsoku w:val="0"/>
              <w:overflowPunct w:val="0"/>
              <w:spacing w:line="400" w:lineRule="exact"/>
              <w:ind w:left="0"/>
              <w:jc w:val="both"/>
              <w:rPr>
                <w:spacing w:val="4"/>
                <w:sz w:val="21"/>
                <w:szCs w:val="21"/>
              </w:rPr>
            </w:pPr>
            <w:r>
              <w:rPr>
                <w:spacing w:val="4"/>
                <w:sz w:val="21"/>
                <w:szCs w:val="21"/>
              </w:rPr>
              <w:t>5. 各工位提供不间断电源。</w:t>
            </w:r>
          </w:p>
        </w:tc>
        <w:tc>
          <w:tcPr>
            <w:tcW w:w="465"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套</w:t>
            </w:r>
          </w:p>
        </w:tc>
        <w:tc>
          <w:tcPr>
            <w:tcW w:w="507"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3</w:t>
            </w:r>
          </w:p>
        </w:tc>
        <w:tc>
          <w:tcPr>
            <w:tcW w:w="687"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硬件</w:t>
            </w:r>
          </w:p>
        </w:tc>
        <w:tc>
          <w:tcPr>
            <w:tcW w:w="992"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传感器套件</w:t>
            </w:r>
          </w:p>
        </w:tc>
        <w:tc>
          <w:tcPr>
            <w:tcW w:w="5065" w:type="dxa"/>
            <w:vAlign w:val="center"/>
          </w:tcPr>
          <w:p>
            <w:pPr>
              <w:pStyle w:val="4"/>
              <w:kinsoku w:val="0"/>
              <w:overflowPunct w:val="0"/>
              <w:spacing w:line="400" w:lineRule="exact"/>
              <w:jc w:val="both"/>
              <w:rPr>
                <w:spacing w:val="4"/>
                <w:sz w:val="21"/>
                <w:szCs w:val="21"/>
              </w:rPr>
            </w:pPr>
            <w:r>
              <w:rPr>
                <w:spacing w:val="4"/>
                <w:sz w:val="21"/>
                <w:szCs w:val="21"/>
              </w:rPr>
              <w:t>1.超高频射频读写器</w:t>
            </w:r>
          </w:p>
          <w:p>
            <w:pPr>
              <w:pStyle w:val="4"/>
              <w:kinsoku w:val="0"/>
              <w:overflowPunct w:val="0"/>
              <w:spacing w:line="400" w:lineRule="exact"/>
              <w:jc w:val="both"/>
              <w:rPr>
                <w:spacing w:val="4"/>
                <w:sz w:val="21"/>
                <w:szCs w:val="21"/>
              </w:rPr>
            </w:pPr>
            <w:r>
              <w:rPr>
                <w:rFonts w:hint="eastAsia"/>
                <w:spacing w:val="4"/>
                <w:sz w:val="21"/>
                <w:szCs w:val="21"/>
              </w:rPr>
              <w:t>支持符合</w:t>
            </w:r>
            <w:r>
              <w:rPr>
                <w:spacing w:val="4"/>
                <w:sz w:val="21"/>
                <w:szCs w:val="21"/>
              </w:rPr>
              <w:t xml:space="preserve"> ISO18000-6B、EPC CLASS1 G2标准的电子标签</w:t>
            </w:r>
          </w:p>
          <w:p>
            <w:pPr>
              <w:pStyle w:val="4"/>
              <w:kinsoku w:val="0"/>
              <w:overflowPunct w:val="0"/>
              <w:spacing w:line="400" w:lineRule="exact"/>
              <w:jc w:val="both"/>
              <w:rPr>
                <w:spacing w:val="4"/>
                <w:sz w:val="21"/>
                <w:szCs w:val="21"/>
              </w:rPr>
            </w:pPr>
            <w:r>
              <w:rPr>
                <w:rFonts w:hint="eastAsia"/>
                <w:spacing w:val="4"/>
                <w:sz w:val="21"/>
                <w:szCs w:val="21"/>
              </w:rPr>
              <w:t>工作频率：</w:t>
            </w:r>
            <w:r>
              <w:rPr>
                <w:spacing w:val="4"/>
                <w:sz w:val="21"/>
                <w:szCs w:val="21"/>
              </w:rPr>
              <w:t>902～928MHz</w:t>
            </w:r>
          </w:p>
          <w:p>
            <w:pPr>
              <w:pStyle w:val="4"/>
              <w:kinsoku w:val="0"/>
              <w:overflowPunct w:val="0"/>
              <w:spacing w:line="400" w:lineRule="exact"/>
              <w:jc w:val="both"/>
              <w:rPr>
                <w:spacing w:val="4"/>
                <w:sz w:val="21"/>
                <w:szCs w:val="21"/>
              </w:rPr>
            </w:pPr>
            <w:r>
              <w:rPr>
                <w:rFonts w:hint="eastAsia"/>
                <w:spacing w:val="4"/>
                <w:sz w:val="21"/>
                <w:szCs w:val="21"/>
              </w:rPr>
              <w:t>输出功率可达</w:t>
            </w:r>
            <w:r>
              <w:rPr>
                <w:spacing w:val="4"/>
                <w:sz w:val="21"/>
                <w:szCs w:val="21"/>
              </w:rPr>
              <w:t xml:space="preserve"> 26dbm</w:t>
            </w:r>
          </w:p>
          <w:p>
            <w:pPr>
              <w:pStyle w:val="4"/>
              <w:kinsoku w:val="0"/>
              <w:overflowPunct w:val="0"/>
              <w:spacing w:line="400" w:lineRule="exact"/>
              <w:jc w:val="both"/>
              <w:rPr>
                <w:spacing w:val="4"/>
                <w:sz w:val="21"/>
                <w:szCs w:val="21"/>
              </w:rPr>
            </w:pPr>
            <w:r>
              <w:rPr>
                <w:rFonts w:hint="eastAsia"/>
                <w:spacing w:val="4"/>
                <w:sz w:val="21"/>
                <w:szCs w:val="21"/>
              </w:rPr>
              <w:t>读取距离支持</w:t>
            </w:r>
            <w:r>
              <w:rPr>
                <w:spacing w:val="4"/>
                <w:sz w:val="21"/>
                <w:szCs w:val="21"/>
              </w:rPr>
              <w:t>1~3米</w:t>
            </w:r>
          </w:p>
          <w:p>
            <w:pPr>
              <w:pStyle w:val="4"/>
              <w:kinsoku w:val="0"/>
              <w:overflowPunct w:val="0"/>
              <w:spacing w:line="400" w:lineRule="exact"/>
              <w:jc w:val="both"/>
              <w:rPr>
                <w:spacing w:val="4"/>
                <w:sz w:val="21"/>
                <w:szCs w:val="21"/>
              </w:rPr>
            </w:pPr>
            <w:r>
              <w:rPr>
                <w:spacing w:val="4"/>
                <w:sz w:val="21"/>
                <w:szCs w:val="21"/>
              </w:rPr>
              <w:t>2.扫描枪</w:t>
            </w:r>
          </w:p>
          <w:p>
            <w:pPr>
              <w:pStyle w:val="4"/>
              <w:kinsoku w:val="0"/>
              <w:overflowPunct w:val="0"/>
              <w:spacing w:line="400" w:lineRule="exact"/>
              <w:jc w:val="both"/>
              <w:rPr>
                <w:spacing w:val="4"/>
                <w:sz w:val="21"/>
                <w:szCs w:val="21"/>
              </w:rPr>
            </w:pPr>
            <w:r>
              <w:rPr>
                <w:rFonts w:hint="eastAsia"/>
                <w:spacing w:val="4"/>
                <w:sz w:val="21"/>
                <w:szCs w:val="21"/>
              </w:rPr>
              <w:t>识读精度：≥</w:t>
            </w:r>
            <w:r>
              <w:rPr>
                <w:spacing w:val="4"/>
                <w:sz w:val="21"/>
                <w:szCs w:val="21"/>
              </w:rPr>
              <w:t>3mil</w:t>
            </w:r>
          </w:p>
          <w:p>
            <w:pPr>
              <w:pStyle w:val="4"/>
              <w:kinsoku w:val="0"/>
              <w:overflowPunct w:val="0"/>
              <w:spacing w:line="400" w:lineRule="exact"/>
              <w:jc w:val="both"/>
              <w:rPr>
                <w:spacing w:val="4"/>
                <w:sz w:val="21"/>
                <w:szCs w:val="21"/>
              </w:rPr>
            </w:pPr>
            <w:r>
              <w:rPr>
                <w:rFonts w:hint="eastAsia"/>
                <w:spacing w:val="4"/>
                <w:sz w:val="21"/>
                <w:szCs w:val="21"/>
              </w:rPr>
              <w:t>典型识读景深：</w:t>
            </w:r>
          </w:p>
          <w:p>
            <w:pPr>
              <w:pStyle w:val="4"/>
              <w:kinsoku w:val="0"/>
              <w:overflowPunct w:val="0"/>
              <w:spacing w:line="400" w:lineRule="exact"/>
              <w:jc w:val="both"/>
              <w:rPr>
                <w:spacing w:val="4"/>
                <w:sz w:val="21"/>
                <w:szCs w:val="21"/>
              </w:rPr>
            </w:pPr>
            <w:r>
              <w:rPr>
                <w:spacing w:val="4"/>
                <w:sz w:val="21"/>
                <w:szCs w:val="21"/>
              </w:rPr>
              <w:t>EAN-13，40mm~355mm (13mil)</w:t>
            </w:r>
          </w:p>
          <w:p>
            <w:pPr>
              <w:pStyle w:val="4"/>
              <w:kinsoku w:val="0"/>
              <w:overflowPunct w:val="0"/>
              <w:spacing w:line="400" w:lineRule="exact"/>
              <w:jc w:val="both"/>
              <w:rPr>
                <w:spacing w:val="4"/>
                <w:sz w:val="21"/>
                <w:szCs w:val="21"/>
              </w:rPr>
            </w:pPr>
            <w:r>
              <w:rPr>
                <w:spacing w:val="4"/>
                <w:sz w:val="21"/>
                <w:szCs w:val="21"/>
              </w:rPr>
              <w:t>Code 39，28mm~155mm (5mil)</w:t>
            </w:r>
          </w:p>
          <w:p>
            <w:pPr>
              <w:pStyle w:val="4"/>
              <w:kinsoku w:val="0"/>
              <w:overflowPunct w:val="0"/>
              <w:spacing w:line="400" w:lineRule="exact"/>
              <w:jc w:val="both"/>
              <w:rPr>
                <w:spacing w:val="4"/>
                <w:sz w:val="21"/>
                <w:szCs w:val="21"/>
              </w:rPr>
            </w:pPr>
            <w:r>
              <w:rPr>
                <w:spacing w:val="4"/>
                <w:sz w:val="21"/>
                <w:szCs w:val="21"/>
              </w:rPr>
              <w:t>PDF 417，28mm~95mm (6.67mil)</w:t>
            </w:r>
          </w:p>
          <w:p>
            <w:pPr>
              <w:pStyle w:val="4"/>
              <w:kinsoku w:val="0"/>
              <w:overflowPunct w:val="0"/>
              <w:spacing w:line="400" w:lineRule="exact"/>
              <w:jc w:val="both"/>
              <w:rPr>
                <w:spacing w:val="4"/>
                <w:sz w:val="21"/>
                <w:szCs w:val="21"/>
              </w:rPr>
            </w:pPr>
            <w:r>
              <w:rPr>
                <w:spacing w:val="4"/>
                <w:sz w:val="21"/>
                <w:szCs w:val="21"/>
              </w:rPr>
              <w:t>Data Matrix，25mm~95mm (10mil)</w:t>
            </w:r>
          </w:p>
          <w:p>
            <w:pPr>
              <w:pStyle w:val="4"/>
              <w:kinsoku w:val="0"/>
              <w:overflowPunct w:val="0"/>
              <w:spacing w:line="400" w:lineRule="exact"/>
              <w:jc w:val="both"/>
              <w:rPr>
                <w:spacing w:val="4"/>
                <w:sz w:val="21"/>
                <w:szCs w:val="21"/>
              </w:rPr>
            </w:pPr>
            <w:r>
              <w:rPr>
                <w:spacing w:val="4"/>
                <w:sz w:val="21"/>
                <w:szCs w:val="21"/>
              </w:rPr>
              <w:t>QR，25mm-150mm (15mil)</w:t>
            </w:r>
          </w:p>
          <w:p>
            <w:pPr>
              <w:pStyle w:val="4"/>
              <w:kinsoku w:val="0"/>
              <w:overflowPunct w:val="0"/>
              <w:spacing w:line="400" w:lineRule="exact"/>
              <w:jc w:val="both"/>
              <w:rPr>
                <w:spacing w:val="4"/>
                <w:sz w:val="21"/>
                <w:szCs w:val="21"/>
              </w:rPr>
            </w:pPr>
            <w:r>
              <w:rPr>
                <w:rFonts w:hint="eastAsia"/>
                <w:spacing w:val="4"/>
                <w:sz w:val="21"/>
                <w:szCs w:val="21"/>
              </w:rPr>
              <w:t>条码灵敏度：倾斜，±</w:t>
            </w:r>
            <w:r>
              <w:rPr>
                <w:spacing w:val="4"/>
                <w:sz w:val="21"/>
                <w:szCs w:val="21"/>
              </w:rPr>
              <w:t>60°@ 0°Roll and 0°Skew</w:t>
            </w:r>
          </w:p>
          <w:p>
            <w:pPr>
              <w:pStyle w:val="4"/>
              <w:kinsoku w:val="0"/>
              <w:overflowPunct w:val="0"/>
              <w:spacing w:line="400" w:lineRule="exact"/>
              <w:jc w:val="both"/>
              <w:rPr>
                <w:spacing w:val="4"/>
                <w:sz w:val="21"/>
                <w:szCs w:val="21"/>
              </w:rPr>
            </w:pPr>
            <w:r>
              <w:rPr>
                <w:rFonts w:hint="eastAsia"/>
                <w:spacing w:val="4"/>
                <w:sz w:val="21"/>
                <w:szCs w:val="21"/>
              </w:rPr>
              <w:t>旋转，</w:t>
            </w:r>
            <w:r>
              <w:rPr>
                <w:spacing w:val="4"/>
                <w:sz w:val="21"/>
                <w:szCs w:val="21"/>
              </w:rPr>
              <w:t>360°@ 0°Pitch and 0°Skew</w:t>
            </w:r>
          </w:p>
          <w:p>
            <w:pPr>
              <w:pStyle w:val="4"/>
              <w:kinsoku w:val="0"/>
              <w:overflowPunct w:val="0"/>
              <w:spacing w:line="400" w:lineRule="exact"/>
              <w:jc w:val="both"/>
              <w:rPr>
                <w:spacing w:val="4"/>
                <w:sz w:val="21"/>
                <w:szCs w:val="21"/>
              </w:rPr>
            </w:pPr>
            <w:r>
              <w:rPr>
                <w:rFonts w:hint="eastAsia"/>
                <w:spacing w:val="4"/>
                <w:sz w:val="21"/>
                <w:szCs w:val="21"/>
              </w:rPr>
              <w:t>偏转，±</w:t>
            </w:r>
            <w:r>
              <w:rPr>
                <w:spacing w:val="4"/>
                <w:sz w:val="21"/>
                <w:szCs w:val="21"/>
              </w:rPr>
              <w:t>55°@ 0°Roll and 0° Pitch</w:t>
            </w:r>
          </w:p>
          <w:p>
            <w:pPr>
              <w:pStyle w:val="4"/>
              <w:kinsoku w:val="0"/>
              <w:overflowPunct w:val="0"/>
              <w:spacing w:line="400" w:lineRule="exact"/>
              <w:ind w:left="0"/>
              <w:jc w:val="both"/>
              <w:rPr>
                <w:spacing w:val="4"/>
                <w:sz w:val="21"/>
                <w:szCs w:val="21"/>
              </w:rPr>
            </w:pPr>
            <w:r>
              <w:rPr>
                <w:rFonts w:hint="eastAsia"/>
                <w:spacing w:val="4"/>
                <w:sz w:val="21"/>
                <w:szCs w:val="21"/>
              </w:rPr>
              <w:t>最低对比度：</w:t>
            </w:r>
            <w:r>
              <w:rPr>
                <w:spacing w:val="4"/>
                <w:sz w:val="21"/>
                <w:szCs w:val="21"/>
              </w:rPr>
              <w:t>30%</w:t>
            </w:r>
          </w:p>
          <w:p>
            <w:pPr>
              <w:pStyle w:val="4"/>
              <w:kinsoku w:val="0"/>
              <w:overflowPunct w:val="0"/>
              <w:spacing w:line="400" w:lineRule="exact"/>
              <w:jc w:val="both"/>
              <w:rPr>
                <w:spacing w:val="4"/>
                <w:sz w:val="21"/>
                <w:szCs w:val="21"/>
              </w:rPr>
            </w:pPr>
            <w:r>
              <w:rPr>
                <w:spacing w:val="4"/>
                <w:sz w:val="21"/>
                <w:szCs w:val="21"/>
              </w:rPr>
              <w:t>3.低频读写器</w:t>
            </w:r>
          </w:p>
          <w:p>
            <w:pPr>
              <w:pStyle w:val="4"/>
              <w:kinsoku w:val="0"/>
              <w:overflowPunct w:val="0"/>
              <w:spacing w:line="400" w:lineRule="exact"/>
              <w:jc w:val="both"/>
              <w:rPr>
                <w:spacing w:val="4"/>
                <w:sz w:val="21"/>
                <w:szCs w:val="21"/>
              </w:rPr>
            </w:pPr>
            <w:r>
              <w:rPr>
                <w:rFonts w:hint="eastAsia"/>
                <w:spacing w:val="4"/>
                <w:sz w:val="21"/>
                <w:szCs w:val="21"/>
              </w:rPr>
              <w:t>具备工作指示灯和蜂鸣器</w:t>
            </w:r>
          </w:p>
          <w:p>
            <w:pPr>
              <w:pStyle w:val="4"/>
              <w:kinsoku w:val="0"/>
              <w:overflowPunct w:val="0"/>
              <w:spacing w:line="400" w:lineRule="exact"/>
              <w:jc w:val="both"/>
              <w:rPr>
                <w:spacing w:val="4"/>
                <w:sz w:val="21"/>
                <w:szCs w:val="21"/>
              </w:rPr>
            </w:pPr>
            <w:r>
              <w:rPr>
                <w:rFonts w:hint="eastAsia"/>
                <w:spacing w:val="4"/>
                <w:sz w:val="21"/>
                <w:szCs w:val="21"/>
              </w:rPr>
              <w:t>感应距离：</w:t>
            </w:r>
            <w:r>
              <w:rPr>
                <w:spacing w:val="4"/>
                <w:sz w:val="21"/>
                <w:szCs w:val="21"/>
              </w:rPr>
              <w:t>1cm~15cm</w:t>
            </w:r>
          </w:p>
          <w:p>
            <w:pPr>
              <w:pStyle w:val="4"/>
              <w:kinsoku w:val="0"/>
              <w:overflowPunct w:val="0"/>
              <w:spacing w:line="400" w:lineRule="exact"/>
              <w:jc w:val="both"/>
              <w:rPr>
                <w:spacing w:val="4"/>
                <w:sz w:val="21"/>
                <w:szCs w:val="21"/>
              </w:rPr>
            </w:pPr>
            <w:r>
              <w:rPr>
                <w:rFonts w:hint="eastAsia"/>
                <w:spacing w:val="4"/>
                <w:sz w:val="21"/>
                <w:szCs w:val="21"/>
              </w:rPr>
              <w:t>波特率支持：</w:t>
            </w:r>
            <w:r>
              <w:rPr>
                <w:spacing w:val="4"/>
                <w:sz w:val="21"/>
                <w:szCs w:val="21"/>
              </w:rPr>
              <w:t>57600 bps</w:t>
            </w:r>
          </w:p>
          <w:p>
            <w:pPr>
              <w:pStyle w:val="4"/>
              <w:kinsoku w:val="0"/>
              <w:overflowPunct w:val="0"/>
              <w:spacing w:line="400" w:lineRule="exact"/>
              <w:jc w:val="both"/>
              <w:rPr>
                <w:spacing w:val="4"/>
                <w:sz w:val="21"/>
                <w:szCs w:val="21"/>
              </w:rPr>
            </w:pPr>
            <w:r>
              <w:rPr>
                <w:spacing w:val="4"/>
                <w:sz w:val="21"/>
                <w:szCs w:val="21"/>
              </w:rPr>
              <w:t>4.高频读写器</w:t>
            </w:r>
          </w:p>
          <w:p>
            <w:pPr>
              <w:pStyle w:val="4"/>
              <w:kinsoku w:val="0"/>
              <w:overflowPunct w:val="0"/>
              <w:spacing w:line="400" w:lineRule="exact"/>
              <w:jc w:val="both"/>
              <w:rPr>
                <w:spacing w:val="4"/>
                <w:sz w:val="21"/>
                <w:szCs w:val="21"/>
              </w:rPr>
            </w:pPr>
            <w:r>
              <w:rPr>
                <w:rFonts w:hint="eastAsia"/>
                <w:spacing w:val="4"/>
                <w:sz w:val="21"/>
                <w:szCs w:val="21"/>
              </w:rPr>
              <w:t>支持符合</w:t>
            </w:r>
            <w:r>
              <w:rPr>
                <w:spacing w:val="4"/>
                <w:sz w:val="21"/>
                <w:szCs w:val="21"/>
              </w:rPr>
              <w:t>ISO 14443 Type A/B的非接触卡</w:t>
            </w:r>
          </w:p>
          <w:p>
            <w:pPr>
              <w:pStyle w:val="4"/>
              <w:kinsoku w:val="0"/>
              <w:overflowPunct w:val="0"/>
              <w:spacing w:line="400" w:lineRule="exact"/>
              <w:jc w:val="both"/>
              <w:rPr>
                <w:spacing w:val="4"/>
                <w:sz w:val="21"/>
                <w:szCs w:val="21"/>
              </w:rPr>
            </w:pPr>
            <w:r>
              <w:rPr>
                <w:rFonts w:hint="eastAsia"/>
                <w:spacing w:val="4"/>
                <w:sz w:val="21"/>
                <w:szCs w:val="21"/>
              </w:rPr>
              <w:t>可给卡提供电流：</w:t>
            </w:r>
            <w:r>
              <w:rPr>
                <w:spacing w:val="4"/>
                <w:sz w:val="21"/>
                <w:szCs w:val="21"/>
              </w:rPr>
              <w:t>0-130mA</w:t>
            </w:r>
          </w:p>
          <w:p>
            <w:pPr>
              <w:pStyle w:val="4"/>
              <w:kinsoku w:val="0"/>
              <w:overflowPunct w:val="0"/>
              <w:spacing w:line="400" w:lineRule="exact"/>
              <w:jc w:val="both"/>
              <w:rPr>
                <w:spacing w:val="4"/>
                <w:sz w:val="21"/>
                <w:szCs w:val="21"/>
              </w:rPr>
            </w:pPr>
            <w:r>
              <w:rPr>
                <w:rFonts w:hint="eastAsia"/>
                <w:spacing w:val="4"/>
                <w:sz w:val="21"/>
                <w:szCs w:val="21"/>
              </w:rPr>
              <w:t>与</w:t>
            </w:r>
            <w:r>
              <w:rPr>
                <w:spacing w:val="4"/>
                <w:sz w:val="21"/>
                <w:szCs w:val="21"/>
              </w:rPr>
              <w:t>PC通讯类型支持：LowSpeedUSB（USB1.1）；Bus powered device；HID（USB无驱）</w:t>
            </w:r>
          </w:p>
          <w:p>
            <w:pPr>
              <w:pStyle w:val="4"/>
              <w:kinsoku w:val="0"/>
              <w:overflowPunct w:val="0"/>
              <w:spacing w:line="400" w:lineRule="exact"/>
              <w:jc w:val="both"/>
              <w:rPr>
                <w:spacing w:val="4"/>
                <w:sz w:val="21"/>
                <w:szCs w:val="21"/>
              </w:rPr>
            </w:pPr>
            <w:r>
              <w:rPr>
                <w:rFonts w:hint="eastAsia"/>
                <w:spacing w:val="4"/>
                <w:sz w:val="21"/>
                <w:szCs w:val="21"/>
              </w:rPr>
              <w:t>通讯速率支持：</w:t>
            </w:r>
            <w:r>
              <w:rPr>
                <w:spacing w:val="4"/>
                <w:sz w:val="21"/>
                <w:szCs w:val="21"/>
              </w:rPr>
              <w:t>9600-38400bps</w:t>
            </w:r>
          </w:p>
          <w:p>
            <w:pPr>
              <w:pStyle w:val="4"/>
              <w:kinsoku w:val="0"/>
              <w:overflowPunct w:val="0"/>
              <w:spacing w:line="400" w:lineRule="exact"/>
              <w:jc w:val="both"/>
              <w:rPr>
                <w:spacing w:val="4"/>
                <w:sz w:val="21"/>
                <w:szCs w:val="21"/>
              </w:rPr>
            </w:pPr>
            <w:r>
              <w:rPr>
                <w:spacing w:val="4"/>
                <w:sz w:val="21"/>
                <w:szCs w:val="21"/>
              </w:rPr>
              <w:t>5.噪音传感器</w:t>
            </w:r>
          </w:p>
          <w:p>
            <w:pPr>
              <w:pStyle w:val="4"/>
              <w:kinsoku w:val="0"/>
              <w:overflowPunct w:val="0"/>
              <w:spacing w:line="400" w:lineRule="exact"/>
              <w:jc w:val="both"/>
              <w:rPr>
                <w:spacing w:val="4"/>
                <w:sz w:val="21"/>
                <w:szCs w:val="21"/>
              </w:rPr>
            </w:pPr>
            <w:r>
              <w:rPr>
                <w:rFonts w:hint="eastAsia"/>
                <w:spacing w:val="4"/>
                <w:sz w:val="21"/>
                <w:szCs w:val="21"/>
              </w:rPr>
              <w:t>输出信号：</w:t>
            </w:r>
            <w:r>
              <w:rPr>
                <w:spacing w:val="4"/>
                <w:sz w:val="21"/>
                <w:szCs w:val="21"/>
              </w:rPr>
              <w:t>4~20mA</w:t>
            </w:r>
          </w:p>
          <w:p>
            <w:pPr>
              <w:pStyle w:val="4"/>
              <w:kinsoku w:val="0"/>
              <w:overflowPunct w:val="0"/>
              <w:spacing w:line="400" w:lineRule="exact"/>
              <w:jc w:val="both"/>
              <w:rPr>
                <w:spacing w:val="4"/>
                <w:sz w:val="21"/>
                <w:szCs w:val="21"/>
              </w:rPr>
            </w:pPr>
            <w:r>
              <w:rPr>
                <w:rFonts w:hint="eastAsia"/>
                <w:spacing w:val="4"/>
                <w:sz w:val="21"/>
                <w:szCs w:val="21"/>
              </w:rPr>
              <w:t>响应时间：小于</w:t>
            </w:r>
            <w:r>
              <w:rPr>
                <w:spacing w:val="4"/>
                <w:sz w:val="21"/>
                <w:szCs w:val="21"/>
              </w:rPr>
              <w:t>2s</w:t>
            </w:r>
          </w:p>
          <w:p>
            <w:pPr>
              <w:pStyle w:val="4"/>
              <w:kinsoku w:val="0"/>
              <w:overflowPunct w:val="0"/>
              <w:spacing w:line="400" w:lineRule="exact"/>
              <w:jc w:val="both"/>
              <w:rPr>
                <w:spacing w:val="4"/>
                <w:sz w:val="21"/>
                <w:szCs w:val="21"/>
              </w:rPr>
            </w:pPr>
            <w:r>
              <w:rPr>
                <w:rFonts w:hint="eastAsia"/>
                <w:spacing w:val="4"/>
                <w:sz w:val="21"/>
                <w:szCs w:val="21"/>
              </w:rPr>
              <w:t>测量范围：</w:t>
            </w:r>
            <w:r>
              <w:rPr>
                <w:spacing w:val="4"/>
                <w:sz w:val="21"/>
                <w:szCs w:val="21"/>
              </w:rPr>
              <w:t>30dB~120dB</w:t>
            </w:r>
          </w:p>
          <w:p>
            <w:pPr>
              <w:pStyle w:val="4"/>
              <w:kinsoku w:val="0"/>
              <w:overflowPunct w:val="0"/>
              <w:spacing w:line="400" w:lineRule="exact"/>
              <w:jc w:val="both"/>
              <w:rPr>
                <w:spacing w:val="4"/>
                <w:sz w:val="21"/>
                <w:szCs w:val="21"/>
              </w:rPr>
            </w:pPr>
            <w:r>
              <w:rPr>
                <w:rFonts w:hint="eastAsia"/>
                <w:spacing w:val="4"/>
                <w:sz w:val="21"/>
                <w:szCs w:val="21"/>
              </w:rPr>
              <w:t>分辨率：</w:t>
            </w:r>
            <w:r>
              <w:rPr>
                <w:spacing w:val="4"/>
                <w:sz w:val="21"/>
                <w:szCs w:val="21"/>
              </w:rPr>
              <w:t>0.1dB</w:t>
            </w:r>
          </w:p>
          <w:p>
            <w:pPr>
              <w:pStyle w:val="4"/>
              <w:kinsoku w:val="0"/>
              <w:overflowPunct w:val="0"/>
              <w:spacing w:line="400" w:lineRule="exact"/>
              <w:jc w:val="both"/>
              <w:rPr>
                <w:spacing w:val="4"/>
                <w:sz w:val="21"/>
                <w:szCs w:val="21"/>
              </w:rPr>
            </w:pPr>
            <w:r>
              <w:rPr>
                <w:rFonts w:hint="eastAsia"/>
                <w:spacing w:val="4"/>
                <w:sz w:val="21"/>
                <w:szCs w:val="21"/>
              </w:rPr>
              <w:t>测量误差：小于±</w:t>
            </w:r>
            <w:r>
              <w:rPr>
                <w:spacing w:val="4"/>
                <w:sz w:val="21"/>
                <w:szCs w:val="21"/>
              </w:rPr>
              <w:t>0.5dB</w:t>
            </w:r>
          </w:p>
          <w:p>
            <w:pPr>
              <w:pStyle w:val="4"/>
              <w:kinsoku w:val="0"/>
              <w:overflowPunct w:val="0"/>
              <w:spacing w:line="400" w:lineRule="exact"/>
              <w:jc w:val="both"/>
              <w:rPr>
                <w:spacing w:val="4"/>
                <w:sz w:val="21"/>
                <w:szCs w:val="21"/>
              </w:rPr>
            </w:pPr>
            <w:r>
              <w:rPr>
                <w:rFonts w:hint="eastAsia"/>
                <w:spacing w:val="4"/>
                <w:sz w:val="21"/>
                <w:szCs w:val="21"/>
              </w:rPr>
              <w:t>频率加权特性：</w:t>
            </w:r>
            <w:r>
              <w:rPr>
                <w:spacing w:val="4"/>
                <w:sz w:val="21"/>
                <w:szCs w:val="21"/>
              </w:rPr>
              <w:t>A加权</w:t>
            </w:r>
          </w:p>
          <w:p>
            <w:pPr>
              <w:pStyle w:val="4"/>
              <w:kinsoku w:val="0"/>
              <w:overflowPunct w:val="0"/>
              <w:spacing w:line="400" w:lineRule="exact"/>
              <w:ind w:left="0"/>
              <w:jc w:val="both"/>
              <w:rPr>
                <w:spacing w:val="4"/>
                <w:sz w:val="21"/>
                <w:szCs w:val="21"/>
              </w:rPr>
            </w:pPr>
            <w:r>
              <w:rPr>
                <w:rFonts w:hint="eastAsia"/>
                <w:spacing w:val="4"/>
                <w:sz w:val="21"/>
                <w:szCs w:val="21"/>
              </w:rPr>
              <w:t>频率响应：</w:t>
            </w:r>
            <w:r>
              <w:rPr>
                <w:spacing w:val="4"/>
                <w:sz w:val="21"/>
                <w:szCs w:val="21"/>
              </w:rPr>
              <w:t>20Hz~12.5kHz</w:t>
            </w:r>
          </w:p>
          <w:p>
            <w:pPr>
              <w:pStyle w:val="4"/>
              <w:kinsoku w:val="0"/>
              <w:overflowPunct w:val="0"/>
              <w:spacing w:line="400" w:lineRule="exact"/>
              <w:jc w:val="both"/>
              <w:rPr>
                <w:spacing w:val="4"/>
                <w:sz w:val="21"/>
                <w:szCs w:val="21"/>
              </w:rPr>
            </w:pPr>
            <w:r>
              <w:rPr>
                <w:spacing w:val="4"/>
                <w:sz w:val="21"/>
                <w:szCs w:val="21"/>
              </w:rPr>
              <w:t>6.重力传感器</w:t>
            </w:r>
          </w:p>
          <w:p>
            <w:pPr>
              <w:pStyle w:val="4"/>
              <w:kinsoku w:val="0"/>
              <w:overflowPunct w:val="0"/>
              <w:spacing w:line="400" w:lineRule="exact"/>
              <w:jc w:val="both"/>
              <w:rPr>
                <w:spacing w:val="4"/>
                <w:sz w:val="21"/>
                <w:szCs w:val="21"/>
              </w:rPr>
            </w:pPr>
            <w:r>
              <w:rPr>
                <w:rFonts w:hint="eastAsia"/>
                <w:spacing w:val="4"/>
                <w:sz w:val="21"/>
                <w:szCs w:val="21"/>
              </w:rPr>
              <w:t>额定载荷：不低于</w:t>
            </w:r>
            <w:r>
              <w:rPr>
                <w:spacing w:val="4"/>
                <w:sz w:val="21"/>
                <w:szCs w:val="21"/>
              </w:rPr>
              <w:t>20kg</w:t>
            </w:r>
          </w:p>
          <w:p>
            <w:pPr>
              <w:pStyle w:val="4"/>
              <w:kinsoku w:val="0"/>
              <w:overflowPunct w:val="0"/>
              <w:spacing w:line="400" w:lineRule="exact"/>
              <w:jc w:val="both"/>
              <w:rPr>
                <w:spacing w:val="4"/>
                <w:sz w:val="21"/>
                <w:szCs w:val="21"/>
              </w:rPr>
            </w:pPr>
            <w:r>
              <w:rPr>
                <w:rFonts w:hint="eastAsia"/>
                <w:spacing w:val="4"/>
                <w:sz w:val="21"/>
                <w:szCs w:val="21"/>
              </w:rPr>
              <w:t>绝缘电阻：≥</w:t>
            </w:r>
            <w:r>
              <w:rPr>
                <w:spacing w:val="4"/>
                <w:sz w:val="21"/>
                <w:szCs w:val="21"/>
              </w:rPr>
              <w:t>2000MΩ</w:t>
            </w:r>
          </w:p>
          <w:p>
            <w:pPr>
              <w:pStyle w:val="4"/>
              <w:kinsoku w:val="0"/>
              <w:overflowPunct w:val="0"/>
              <w:spacing w:line="400" w:lineRule="exact"/>
              <w:jc w:val="both"/>
              <w:rPr>
                <w:spacing w:val="4"/>
                <w:sz w:val="21"/>
                <w:szCs w:val="21"/>
              </w:rPr>
            </w:pPr>
            <w:r>
              <w:rPr>
                <w:rFonts w:hint="eastAsia"/>
                <w:spacing w:val="4"/>
                <w:sz w:val="21"/>
                <w:szCs w:val="21"/>
              </w:rPr>
              <w:t>工作温度范围：</w:t>
            </w:r>
            <w:r>
              <w:rPr>
                <w:spacing w:val="4"/>
                <w:sz w:val="21"/>
                <w:szCs w:val="21"/>
              </w:rPr>
              <w:t>-30~+70℃</w:t>
            </w:r>
          </w:p>
          <w:p>
            <w:pPr>
              <w:pStyle w:val="4"/>
              <w:kinsoku w:val="0"/>
              <w:overflowPunct w:val="0"/>
              <w:spacing w:line="400" w:lineRule="exact"/>
              <w:jc w:val="both"/>
              <w:rPr>
                <w:spacing w:val="4"/>
                <w:sz w:val="21"/>
                <w:szCs w:val="21"/>
              </w:rPr>
            </w:pPr>
            <w:r>
              <w:rPr>
                <w:rFonts w:hint="eastAsia"/>
                <w:spacing w:val="4"/>
                <w:sz w:val="21"/>
                <w:szCs w:val="21"/>
              </w:rPr>
              <w:t>灵敏度：</w:t>
            </w:r>
            <w:r>
              <w:rPr>
                <w:spacing w:val="4"/>
                <w:sz w:val="21"/>
                <w:szCs w:val="21"/>
              </w:rPr>
              <w:t>1.0~2.0mV/V</w:t>
            </w:r>
          </w:p>
          <w:p>
            <w:pPr>
              <w:pStyle w:val="4"/>
              <w:kinsoku w:val="0"/>
              <w:overflowPunct w:val="0"/>
              <w:spacing w:line="400" w:lineRule="exact"/>
              <w:jc w:val="both"/>
              <w:rPr>
                <w:spacing w:val="4"/>
                <w:sz w:val="21"/>
                <w:szCs w:val="21"/>
              </w:rPr>
            </w:pPr>
            <w:r>
              <w:rPr>
                <w:rFonts w:hint="eastAsia"/>
                <w:spacing w:val="4"/>
                <w:sz w:val="21"/>
                <w:szCs w:val="21"/>
              </w:rPr>
              <w:t>综合误差：±</w:t>
            </w:r>
            <w:r>
              <w:rPr>
                <w:spacing w:val="4"/>
                <w:sz w:val="21"/>
                <w:szCs w:val="21"/>
              </w:rPr>
              <w:t>0.5%F.S</w:t>
            </w:r>
          </w:p>
          <w:p>
            <w:pPr>
              <w:pStyle w:val="4"/>
              <w:kinsoku w:val="0"/>
              <w:overflowPunct w:val="0"/>
              <w:spacing w:line="400" w:lineRule="exact"/>
              <w:jc w:val="both"/>
              <w:rPr>
                <w:spacing w:val="4"/>
                <w:sz w:val="21"/>
                <w:szCs w:val="21"/>
              </w:rPr>
            </w:pPr>
            <w:r>
              <w:rPr>
                <w:rFonts w:hint="eastAsia"/>
                <w:spacing w:val="4"/>
                <w:sz w:val="21"/>
                <w:szCs w:val="21"/>
              </w:rPr>
              <w:t>安全过载：</w:t>
            </w:r>
            <w:r>
              <w:rPr>
                <w:spacing w:val="4"/>
                <w:sz w:val="21"/>
                <w:szCs w:val="21"/>
              </w:rPr>
              <w:t>150% F.S</w:t>
            </w:r>
          </w:p>
          <w:p>
            <w:pPr>
              <w:pStyle w:val="4"/>
              <w:kinsoku w:val="0"/>
              <w:overflowPunct w:val="0"/>
              <w:spacing w:line="400" w:lineRule="exact"/>
              <w:jc w:val="both"/>
              <w:rPr>
                <w:spacing w:val="4"/>
                <w:sz w:val="21"/>
                <w:szCs w:val="21"/>
              </w:rPr>
            </w:pPr>
            <w:r>
              <w:rPr>
                <w:rFonts w:hint="eastAsia"/>
                <w:spacing w:val="4"/>
                <w:sz w:val="21"/>
                <w:szCs w:val="21"/>
              </w:rPr>
              <w:t>极限过载：</w:t>
            </w:r>
            <w:r>
              <w:rPr>
                <w:spacing w:val="4"/>
                <w:sz w:val="21"/>
                <w:szCs w:val="21"/>
              </w:rPr>
              <w:t>200% F.S</w:t>
            </w:r>
          </w:p>
          <w:p>
            <w:pPr>
              <w:pStyle w:val="4"/>
              <w:kinsoku w:val="0"/>
              <w:overflowPunct w:val="0"/>
              <w:spacing w:line="400" w:lineRule="exact"/>
              <w:jc w:val="both"/>
              <w:rPr>
                <w:spacing w:val="4"/>
                <w:sz w:val="21"/>
                <w:szCs w:val="21"/>
              </w:rPr>
            </w:pPr>
            <w:r>
              <w:rPr>
                <w:rFonts w:hint="eastAsia"/>
                <w:spacing w:val="4"/>
                <w:sz w:val="21"/>
                <w:szCs w:val="21"/>
              </w:rPr>
              <w:t>密封等级：</w:t>
            </w:r>
            <w:r>
              <w:rPr>
                <w:spacing w:val="4"/>
                <w:sz w:val="21"/>
                <w:szCs w:val="21"/>
              </w:rPr>
              <w:t>IP67</w:t>
            </w:r>
          </w:p>
          <w:p>
            <w:pPr>
              <w:pStyle w:val="4"/>
              <w:kinsoku w:val="0"/>
              <w:overflowPunct w:val="0"/>
              <w:spacing w:line="400" w:lineRule="exact"/>
              <w:jc w:val="both"/>
              <w:rPr>
                <w:spacing w:val="4"/>
                <w:sz w:val="21"/>
                <w:szCs w:val="21"/>
              </w:rPr>
            </w:pPr>
            <w:r>
              <w:rPr>
                <w:spacing w:val="4"/>
                <w:sz w:val="21"/>
                <w:szCs w:val="21"/>
              </w:rPr>
              <w:t>7.超声波传感器</w:t>
            </w:r>
          </w:p>
          <w:p>
            <w:pPr>
              <w:pStyle w:val="4"/>
              <w:kinsoku w:val="0"/>
              <w:overflowPunct w:val="0"/>
              <w:spacing w:line="400" w:lineRule="exact"/>
              <w:ind w:left="0"/>
              <w:jc w:val="both"/>
              <w:rPr>
                <w:spacing w:val="4"/>
                <w:sz w:val="21"/>
                <w:szCs w:val="21"/>
              </w:rPr>
            </w:pPr>
            <w:r>
              <w:rPr>
                <w:rFonts w:hint="eastAsia"/>
                <w:spacing w:val="4"/>
                <w:sz w:val="21"/>
                <w:szCs w:val="21"/>
              </w:rPr>
              <w:t>工作电压：</w:t>
            </w:r>
            <w:r>
              <w:rPr>
                <w:spacing w:val="4"/>
                <w:sz w:val="21"/>
                <w:szCs w:val="21"/>
              </w:rPr>
              <w:t>5V</w:t>
            </w:r>
          </w:p>
          <w:p>
            <w:pPr>
              <w:pStyle w:val="4"/>
              <w:kinsoku w:val="0"/>
              <w:overflowPunct w:val="0"/>
              <w:spacing w:line="400" w:lineRule="exact"/>
              <w:jc w:val="both"/>
              <w:rPr>
                <w:spacing w:val="4"/>
                <w:sz w:val="21"/>
                <w:szCs w:val="21"/>
              </w:rPr>
            </w:pPr>
            <w:r>
              <w:rPr>
                <w:rFonts w:hint="eastAsia"/>
                <w:spacing w:val="4"/>
                <w:sz w:val="21"/>
                <w:szCs w:val="21"/>
              </w:rPr>
              <w:t>输出方式：</w:t>
            </w:r>
            <w:r>
              <w:rPr>
                <w:spacing w:val="4"/>
                <w:sz w:val="21"/>
                <w:szCs w:val="21"/>
              </w:rPr>
              <w:t>UART串口</w:t>
            </w:r>
          </w:p>
          <w:p>
            <w:pPr>
              <w:pStyle w:val="4"/>
              <w:kinsoku w:val="0"/>
              <w:overflowPunct w:val="0"/>
              <w:spacing w:line="400" w:lineRule="exact"/>
              <w:jc w:val="both"/>
              <w:rPr>
                <w:spacing w:val="4"/>
                <w:sz w:val="21"/>
                <w:szCs w:val="21"/>
              </w:rPr>
            </w:pPr>
            <w:r>
              <w:rPr>
                <w:rFonts w:hint="eastAsia"/>
                <w:spacing w:val="4"/>
                <w:sz w:val="21"/>
                <w:szCs w:val="21"/>
              </w:rPr>
              <w:t>平面物体量程：</w:t>
            </w:r>
            <w:r>
              <w:rPr>
                <w:spacing w:val="4"/>
                <w:sz w:val="21"/>
                <w:szCs w:val="21"/>
              </w:rPr>
              <w:t>3-420cm</w:t>
            </w:r>
          </w:p>
          <w:p>
            <w:pPr>
              <w:pStyle w:val="4"/>
              <w:kinsoku w:val="0"/>
              <w:overflowPunct w:val="0"/>
              <w:spacing w:line="400" w:lineRule="exact"/>
              <w:jc w:val="both"/>
              <w:rPr>
                <w:spacing w:val="4"/>
                <w:sz w:val="21"/>
                <w:szCs w:val="21"/>
              </w:rPr>
            </w:pPr>
            <w:r>
              <w:rPr>
                <w:rFonts w:hint="eastAsia"/>
                <w:spacing w:val="4"/>
                <w:sz w:val="21"/>
                <w:szCs w:val="21"/>
              </w:rPr>
              <w:t>工作温度：</w:t>
            </w:r>
            <w:r>
              <w:rPr>
                <w:spacing w:val="4"/>
                <w:sz w:val="21"/>
                <w:szCs w:val="21"/>
              </w:rPr>
              <w:t>-15℃~+60℃</w:t>
            </w:r>
          </w:p>
          <w:p>
            <w:pPr>
              <w:pStyle w:val="4"/>
              <w:kinsoku w:val="0"/>
              <w:overflowPunct w:val="0"/>
              <w:spacing w:line="400" w:lineRule="exact"/>
              <w:jc w:val="both"/>
              <w:rPr>
                <w:spacing w:val="4"/>
                <w:sz w:val="21"/>
                <w:szCs w:val="21"/>
              </w:rPr>
            </w:pPr>
            <w:r>
              <w:rPr>
                <w:spacing w:val="4"/>
                <w:sz w:val="21"/>
                <w:szCs w:val="21"/>
              </w:rPr>
              <w:t>8.接近开关</w:t>
            </w:r>
          </w:p>
          <w:p>
            <w:pPr>
              <w:pStyle w:val="4"/>
              <w:kinsoku w:val="0"/>
              <w:overflowPunct w:val="0"/>
              <w:spacing w:line="400" w:lineRule="exact"/>
              <w:jc w:val="both"/>
              <w:rPr>
                <w:spacing w:val="4"/>
                <w:sz w:val="21"/>
                <w:szCs w:val="21"/>
              </w:rPr>
            </w:pPr>
            <w:r>
              <w:rPr>
                <w:rFonts w:hint="eastAsia"/>
                <w:spacing w:val="4"/>
                <w:sz w:val="21"/>
                <w:szCs w:val="21"/>
              </w:rPr>
              <w:t>外形直径不小于</w:t>
            </w:r>
            <w:r>
              <w:rPr>
                <w:spacing w:val="4"/>
                <w:sz w:val="21"/>
                <w:szCs w:val="21"/>
              </w:rPr>
              <w:t>12mm</w:t>
            </w:r>
          </w:p>
          <w:p>
            <w:pPr>
              <w:pStyle w:val="4"/>
              <w:kinsoku w:val="0"/>
              <w:overflowPunct w:val="0"/>
              <w:spacing w:line="400" w:lineRule="exact"/>
              <w:jc w:val="both"/>
              <w:rPr>
                <w:spacing w:val="4"/>
                <w:sz w:val="21"/>
                <w:szCs w:val="21"/>
              </w:rPr>
            </w:pPr>
            <w:r>
              <w:rPr>
                <w:rFonts w:hint="eastAsia"/>
                <w:spacing w:val="4"/>
                <w:sz w:val="21"/>
                <w:szCs w:val="21"/>
              </w:rPr>
              <w:t>检测距离大于</w:t>
            </w:r>
            <w:r>
              <w:rPr>
                <w:spacing w:val="4"/>
                <w:sz w:val="21"/>
                <w:szCs w:val="21"/>
              </w:rPr>
              <w:t>3mm</w:t>
            </w:r>
          </w:p>
          <w:p>
            <w:pPr>
              <w:pStyle w:val="4"/>
              <w:kinsoku w:val="0"/>
              <w:overflowPunct w:val="0"/>
              <w:spacing w:line="400" w:lineRule="exact"/>
              <w:jc w:val="both"/>
              <w:rPr>
                <w:spacing w:val="4"/>
                <w:sz w:val="21"/>
                <w:szCs w:val="21"/>
              </w:rPr>
            </w:pPr>
            <w:r>
              <w:rPr>
                <w:rFonts w:hint="eastAsia"/>
                <w:spacing w:val="4"/>
                <w:sz w:val="21"/>
                <w:szCs w:val="21"/>
              </w:rPr>
              <w:t>工作方式：电感式</w:t>
            </w:r>
          </w:p>
          <w:p>
            <w:pPr>
              <w:pStyle w:val="4"/>
              <w:kinsoku w:val="0"/>
              <w:overflowPunct w:val="0"/>
              <w:spacing w:line="400" w:lineRule="exact"/>
              <w:jc w:val="both"/>
              <w:rPr>
                <w:spacing w:val="4"/>
                <w:sz w:val="21"/>
                <w:szCs w:val="21"/>
              </w:rPr>
            </w:pPr>
            <w:r>
              <w:rPr>
                <w:rFonts w:hint="eastAsia"/>
                <w:spacing w:val="4"/>
                <w:sz w:val="21"/>
                <w:szCs w:val="21"/>
              </w:rPr>
              <w:t>工作电压：</w:t>
            </w:r>
            <w:r>
              <w:rPr>
                <w:spacing w:val="4"/>
                <w:sz w:val="21"/>
                <w:szCs w:val="21"/>
              </w:rPr>
              <w:t>6～36V</w:t>
            </w:r>
          </w:p>
          <w:p>
            <w:pPr>
              <w:pStyle w:val="4"/>
              <w:kinsoku w:val="0"/>
              <w:overflowPunct w:val="0"/>
              <w:spacing w:line="400" w:lineRule="exact"/>
              <w:jc w:val="both"/>
              <w:rPr>
                <w:spacing w:val="4"/>
                <w:sz w:val="21"/>
                <w:szCs w:val="21"/>
              </w:rPr>
            </w:pPr>
            <w:r>
              <w:rPr>
                <w:spacing w:val="4"/>
                <w:sz w:val="21"/>
                <w:szCs w:val="21"/>
              </w:rPr>
              <w:t>9.限位开关</w:t>
            </w:r>
          </w:p>
          <w:p>
            <w:pPr>
              <w:pStyle w:val="4"/>
              <w:kinsoku w:val="0"/>
              <w:overflowPunct w:val="0"/>
              <w:spacing w:line="400" w:lineRule="exact"/>
              <w:jc w:val="both"/>
              <w:rPr>
                <w:spacing w:val="4"/>
                <w:sz w:val="21"/>
                <w:szCs w:val="21"/>
              </w:rPr>
            </w:pPr>
            <w:r>
              <w:rPr>
                <w:rFonts w:hint="eastAsia"/>
                <w:spacing w:val="4"/>
                <w:sz w:val="21"/>
                <w:szCs w:val="21"/>
              </w:rPr>
              <w:t>动作力：</w:t>
            </w:r>
            <w:r>
              <w:rPr>
                <w:spacing w:val="4"/>
                <w:sz w:val="21"/>
                <w:szCs w:val="21"/>
              </w:rPr>
              <w:t>2-3.8N</w:t>
            </w:r>
          </w:p>
          <w:p>
            <w:pPr>
              <w:pStyle w:val="4"/>
              <w:kinsoku w:val="0"/>
              <w:overflowPunct w:val="0"/>
              <w:spacing w:line="400" w:lineRule="exact"/>
              <w:jc w:val="both"/>
              <w:rPr>
                <w:spacing w:val="4"/>
                <w:sz w:val="21"/>
                <w:szCs w:val="21"/>
              </w:rPr>
            </w:pPr>
            <w:r>
              <w:rPr>
                <w:rFonts w:hint="eastAsia"/>
                <w:spacing w:val="4"/>
                <w:sz w:val="21"/>
                <w:szCs w:val="21"/>
              </w:rPr>
              <w:t>复动力：</w:t>
            </w:r>
            <w:r>
              <w:rPr>
                <w:spacing w:val="4"/>
                <w:sz w:val="21"/>
                <w:szCs w:val="21"/>
              </w:rPr>
              <w:t>1N</w:t>
            </w:r>
          </w:p>
          <w:p>
            <w:pPr>
              <w:pStyle w:val="4"/>
              <w:kinsoku w:val="0"/>
              <w:overflowPunct w:val="0"/>
              <w:spacing w:line="400" w:lineRule="exact"/>
              <w:jc w:val="both"/>
              <w:rPr>
                <w:spacing w:val="4"/>
                <w:sz w:val="21"/>
                <w:szCs w:val="21"/>
              </w:rPr>
            </w:pPr>
            <w:r>
              <w:rPr>
                <w:rFonts w:hint="eastAsia"/>
                <w:spacing w:val="4"/>
                <w:sz w:val="21"/>
                <w:szCs w:val="21"/>
              </w:rPr>
              <w:t>重复精度误差：小于±</w:t>
            </w:r>
            <w:r>
              <w:rPr>
                <w:spacing w:val="4"/>
                <w:sz w:val="21"/>
                <w:szCs w:val="21"/>
              </w:rPr>
              <w:t>0.05mm</w:t>
            </w:r>
          </w:p>
          <w:p>
            <w:pPr>
              <w:pStyle w:val="4"/>
              <w:kinsoku w:val="0"/>
              <w:overflowPunct w:val="0"/>
              <w:spacing w:line="400" w:lineRule="exact"/>
              <w:jc w:val="both"/>
              <w:rPr>
                <w:spacing w:val="4"/>
                <w:sz w:val="21"/>
                <w:szCs w:val="21"/>
              </w:rPr>
            </w:pPr>
            <w:r>
              <w:rPr>
                <w:spacing w:val="4"/>
                <w:sz w:val="21"/>
                <w:szCs w:val="21"/>
              </w:rPr>
              <w:t>10.微动开关</w:t>
            </w:r>
          </w:p>
          <w:p>
            <w:pPr>
              <w:pStyle w:val="4"/>
              <w:kinsoku w:val="0"/>
              <w:overflowPunct w:val="0"/>
              <w:spacing w:line="400" w:lineRule="exact"/>
              <w:jc w:val="both"/>
              <w:rPr>
                <w:spacing w:val="4"/>
                <w:sz w:val="21"/>
                <w:szCs w:val="21"/>
              </w:rPr>
            </w:pPr>
            <w:r>
              <w:rPr>
                <w:rFonts w:hint="eastAsia"/>
                <w:spacing w:val="4"/>
                <w:sz w:val="21"/>
                <w:szCs w:val="21"/>
              </w:rPr>
              <w:t>直动式自复位开关</w:t>
            </w:r>
          </w:p>
          <w:p>
            <w:pPr>
              <w:pStyle w:val="4"/>
              <w:kinsoku w:val="0"/>
              <w:overflowPunct w:val="0"/>
              <w:spacing w:line="400" w:lineRule="exact"/>
              <w:jc w:val="both"/>
              <w:rPr>
                <w:spacing w:val="4"/>
                <w:sz w:val="21"/>
                <w:szCs w:val="21"/>
              </w:rPr>
            </w:pPr>
            <w:r>
              <w:rPr>
                <w:spacing w:val="4"/>
                <w:sz w:val="21"/>
                <w:szCs w:val="21"/>
              </w:rPr>
              <w:t>11.温湿度传感器</w:t>
            </w:r>
          </w:p>
          <w:p>
            <w:pPr>
              <w:pStyle w:val="4"/>
              <w:kinsoku w:val="0"/>
              <w:overflowPunct w:val="0"/>
              <w:spacing w:line="400" w:lineRule="exact"/>
              <w:jc w:val="both"/>
              <w:rPr>
                <w:spacing w:val="4"/>
                <w:sz w:val="21"/>
                <w:szCs w:val="21"/>
              </w:rPr>
            </w:pPr>
            <w:r>
              <w:rPr>
                <w:rFonts w:hint="eastAsia"/>
                <w:spacing w:val="4"/>
                <w:sz w:val="21"/>
                <w:szCs w:val="21"/>
              </w:rPr>
              <w:t>量程：</w:t>
            </w:r>
            <w:r>
              <w:rPr>
                <w:spacing w:val="4"/>
                <w:sz w:val="21"/>
                <w:szCs w:val="21"/>
              </w:rPr>
              <w:t>-10~60℃</w:t>
            </w:r>
          </w:p>
          <w:p>
            <w:pPr>
              <w:pStyle w:val="4"/>
              <w:kinsoku w:val="0"/>
              <w:overflowPunct w:val="0"/>
              <w:spacing w:line="400" w:lineRule="exact"/>
              <w:ind w:left="0"/>
              <w:jc w:val="both"/>
              <w:rPr>
                <w:spacing w:val="4"/>
                <w:sz w:val="21"/>
                <w:szCs w:val="21"/>
              </w:rPr>
            </w:pPr>
            <w:r>
              <w:rPr>
                <w:rFonts w:hint="eastAsia"/>
                <w:spacing w:val="4"/>
                <w:sz w:val="21"/>
                <w:szCs w:val="21"/>
              </w:rPr>
              <w:t>精确度：温度±</w:t>
            </w:r>
            <w:r>
              <w:rPr>
                <w:spacing w:val="4"/>
                <w:sz w:val="21"/>
                <w:szCs w:val="21"/>
              </w:rPr>
              <w:t>0.5℃，湿度±3%</w:t>
            </w:r>
          </w:p>
          <w:p>
            <w:pPr>
              <w:pStyle w:val="4"/>
              <w:kinsoku w:val="0"/>
              <w:overflowPunct w:val="0"/>
              <w:spacing w:line="400" w:lineRule="exact"/>
              <w:jc w:val="both"/>
              <w:rPr>
                <w:spacing w:val="4"/>
                <w:sz w:val="21"/>
                <w:szCs w:val="21"/>
              </w:rPr>
            </w:pPr>
            <w:r>
              <w:rPr>
                <w:spacing w:val="4"/>
                <w:sz w:val="21"/>
                <w:szCs w:val="21"/>
              </w:rPr>
              <w:t>12.二氧化碳传感器</w:t>
            </w:r>
          </w:p>
          <w:p>
            <w:pPr>
              <w:pStyle w:val="4"/>
              <w:kinsoku w:val="0"/>
              <w:overflowPunct w:val="0"/>
              <w:spacing w:line="400" w:lineRule="exact"/>
              <w:jc w:val="both"/>
              <w:rPr>
                <w:spacing w:val="4"/>
                <w:sz w:val="21"/>
                <w:szCs w:val="21"/>
              </w:rPr>
            </w:pPr>
            <w:r>
              <w:rPr>
                <w:rFonts w:hint="eastAsia"/>
                <w:spacing w:val="4"/>
                <w:sz w:val="21"/>
                <w:szCs w:val="21"/>
              </w:rPr>
              <w:t>量程：</w:t>
            </w:r>
            <w:r>
              <w:rPr>
                <w:spacing w:val="4"/>
                <w:sz w:val="21"/>
                <w:szCs w:val="21"/>
              </w:rPr>
              <w:t>0~5000PPM</w:t>
            </w:r>
          </w:p>
          <w:p>
            <w:pPr>
              <w:pStyle w:val="4"/>
              <w:kinsoku w:val="0"/>
              <w:overflowPunct w:val="0"/>
              <w:spacing w:line="400" w:lineRule="exact"/>
              <w:jc w:val="both"/>
              <w:rPr>
                <w:spacing w:val="4"/>
                <w:sz w:val="21"/>
                <w:szCs w:val="21"/>
              </w:rPr>
            </w:pPr>
            <w:r>
              <w:rPr>
                <w:rFonts w:hint="eastAsia"/>
                <w:spacing w:val="4"/>
                <w:sz w:val="21"/>
                <w:szCs w:val="21"/>
              </w:rPr>
              <w:t>响应时间：小于</w:t>
            </w:r>
            <w:r>
              <w:rPr>
                <w:spacing w:val="4"/>
                <w:sz w:val="21"/>
                <w:szCs w:val="21"/>
              </w:rPr>
              <w:t>30s</w:t>
            </w:r>
          </w:p>
          <w:p>
            <w:pPr>
              <w:pStyle w:val="4"/>
              <w:kinsoku w:val="0"/>
              <w:overflowPunct w:val="0"/>
              <w:spacing w:line="400" w:lineRule="exact"/>
              <w:jc w:val="both"/>
              <w:rPr>
                <w:spacing w:val="4"/>
                <w:sz w:val="21"/>
                <w:szCs w:val="21"/>
              </w:rPr>
            </w:pPr>
            <w:r>
              <w:rPr>
                <w:spacing w:val="4"/>
                <w:sz w:val="21"/>
                <w:szCs w:val="21"/>
              </w:rPr>
              <w:t>13.光照度传感器</w:t>
            </w:r>
          </w:p>
          <w:p>
            <w:pPr>
              <w:pStyle w:val="4"/>
              <w:kinsoku w:val="0"/>
              <w:overflowPunct w:val="0"/>
              <w:spacing w:line="400" w:lineRule="exact"/>
              <w:jc w:val="both"/>
              <w:rPr>
                <w:spacing w:val="4"/>
                <w:sz w:val="21"/>
                <w:szCs w:val="21"/>
              </w:rPr>
            </w:pPr>
            <w:r>
              <w:rPr>
                <w:rFonts w:hint="eastAsia"/>
                <w:spacing w:val="4"/>
                <w:sz w:val="21"/>
                <w:szCs w:val="21"/>
              </w:rPr>
              <w:t>光谱峰值：</w:t>
            </w:r>
            <w:r>
              <w:rPr>
                <w:spacing w:val="4"/>
                <w:sz w:val="21"/>
                <w:szCs w:val="21"/>
              </w:rPr>
              <w:t>540nm</w:t>
            </w:r>
          </w:p>
          <w:p>
            <w:pPr>
              <w:pStyle w:val="4"/>
              <w:kinsoku w:val="0"/>
              <w:overflowPunct w:val="0"/>
              <w:spacing w:line="400" w:lineRule="exact"/>
              <w:jc w:val="both"/>
              <w:rPr>
                <w:spacing w:val="4"/>
                <w:sz w:val="21"/>
                <w:szCs w:val="21"/>
              </w:rPr>
            </w:pPr>
            <w:r>
              <w:rPr>
                <w:spacing w:val="4"/>
                <w:sz w:val="21"/>
                <w:szCs w:val="21"/>
              </w:rPr>
              <w:t>14.烟雾探测器</w:t>
            </w:r>
          </w:p>
          <w:p>
            <w:pPr>
              <w:pStyle w:val="4"/>
              <w:kinsoku w:val="0"/>
              <w:overflowPunct w:val="0"/>
              <w:spacing w:line="400" w:lineRule="exact"/>
              <w:jc w:val="both"/>
              <w:rPr>
                <w:spacing w:val="4"/>
                <w:sz w:val="21"/>
                <w:szCs w:val="21"/>
              </w:rPr>
            </w:pPr>
            <w:r>
              <w:rPr>
                <w:rFonts w:hint="eastAsia"/>
                <w:spacing w:val="4"/>
                <w:sz w:val="21"/>
                <w:szCs w:val="21"/>
              </w:rPr>
              <w:t>报警声音：≥</w:t>
            </w:r>
            <w:r>
              <w:rPr>
                <w:spacing w:val="4"/>
                <w:sz w:val="21"/>
                <w:szCs w:val="21"/>
              </w:rPr>
              <w:t>85dB</w:t>
            </w:r>
          </w:p>
          <w:p>
            <w:pPr>
              <w:pStyle w:val="4"/>
              <w:kinsoku w:val="0"/>
              <w:overflowPunct w:val="0"/>
              <w:spacing w:line="400" w:lineRule="exact"/>
              <w:jc w:val="both"/>
              <w:rPr>
                <w:spacing w:val="4"/>
                <w:sz w:val="21"/>
                <w:szCs w:val="21"/>
              </w:rPr>
            </w:pPr>
            <w:r>
              <w:rPr>
                <w:rFonts w:hint="eastAsia"/>
                <w:spacing w:val="4"/>
                <w:sz w:val="21"/>
                <w:szCs w:val="21"/>
              </w:rPr>
              <w:t>静态电流：≤</w:t>
            </w:r>
            <w:r>
              <w:rPr>
                <w:spacing w:val="4"/>
                <w:sz w:val="21"/>
                <w:szCs w:val="21"/>
              </w:rPr>
              <w:t>200uA</w:t>
            </w:r>
          </w:p>
          <w:p>
            <w:pPr>
              <w:pStyle w:val="4"/>
              <w:kinsoku w:val="0"/>
              <w:overflowPunct w:val="0"/>
              <w:spacing w:line="400" w:lineRule="exact"/>
              <w:jc w:val="both"/>
              <w:rPr>
                <w:spacing w:val="4"/>
                <w:sz w:val="21"/>
                <w:szCs w:val="21"/>
              </w:rPr>
            </w:pPr>
            <w:r>
              <w:rPr>
                <w:rFonts w:hint="eastAsia"/>
                <w:spacing w:val="4"/>
                <w:sz w:val="21"/>
                <w:szCs w:val="21"/>
              </w:rPr>
              <w:t>报警电流：≤</w:t>
            </w:r>
            <w:r>
              <w:rPr>
                <w:spacing w:val="4"/>
                <w:sz w:val="21"/>
                <w:szCs w:val="21"/>
              </w:rPr>
              <w:t>50mA</w:t>
            </w:r>
          </w:p>
          <w:p>
            <w:pPr>
              <w:pStyle w:val="4"/>
              <w:kinsoku w:val="0"/>
              <w:overflowPunct w:val="0"/>
              <w:spacing w:line="400" w:lineRule="exact"/>
              <w:jc w:val="both"/>
              <w:rPr>
                <w:spacing w:val="4"/>
                <w:sz w:val="21"/>
                <w:szCs w:val="21"/>
              </w:rPr>
            </w:pPr>
            <w:r>
              <w:rPr>
                <w:spacing w:val="4"/>
                <w:sz w:val="21"/>
                <w:szCs w:val="21"/>
              </w:rPr>
              <w:t>15.风速传感器</w:t>
            </w:r>
          </w:p>
          <w:p>
            <w:pPr>
              <w:pStyle w:val="4"/>
              <w:kinsoku w:val="0"/>
              <w:overflowPunct w:val="0"/>
              <w:spacing w:line="400" w:lineRule="exact"/>
              <w:ind w:left="0"/>
              <w:jc w:val="both"/>
              <w:rPr>
                <w:spacing w:val="4"/>
                <w:sz w:val="21"/>
                <w:szCs w:val="21"/>
              </w:rPr>
            </w:pPr>
            <w:r>
              <w:rPr>
                <w:rFonts w:hint="eastAsia"/>
                <w:spacing w:val="4"/>
                <w:sz w:val="21"/>
                <w:szCs w:val="21"/>
              </w:rPr>
              <w:t>精度（电流输出型）：</w:t>
            </w:r>
            <w:r>
              <w:rPr>
                <w:spacing w:val="4"/>
                <w:sz w:val="21"/>
                <w:szCs w:val="21"/>
              </w:rPr>
              <w:t>1m/s(0.2m/s启动)；量程：0-30m/s；</w:t>
            </w:r>
          </w:p>
          <w:p>
            <w:pPr>
              <w:pStyle w:val="4"/>
              <w:kinsoku w:val="0"/>
              <w:overflowPunct w:val="0"/>
              <w:spacing w:line="400" w:lineRule="exact"/>
              <w:jc w:val="both"/>
              <w:rPr>
                <w:spacing w:val="4"/>
                <w:sz w:val="21"/>
                <w:szCs w:val="21"/>
              </w:rPr>
            </w:pPr>
            <w:r>
              <w:rPr>
                <w:rFonts w:hint="eastAsia"/>
                <w:spacing w:val="4"/>
                <w:sz w:val="21"/>
                <w:szCs w:val="21"/>
              </w:rPr>
              <w:t>供电电压：</w:t>
            </w:r>
            <w:r>
              <w:rPr>
                <w:spacing w:val="4"/>
                <w:sz w:val="21"/>
                <w:szCs w:val="21"/>
              </w:rPr>
              <w:t>12-24VDC；</w:t>
            </w:r>
          </w:p>
          <w:p>
            <w:pPr>
              <w:pStyle w:val="4"/>
              <w:kinsoku w:val="0"/>
              <w:overflowPunct w:val="0"/>
              <w:spacing w:line="400" w:lineRule="exact"/>
              <w:jc w:val="both"/>
              <w:rPr>
                <w:spacing w:val="4"/>
                <w:sz w:val="21"/>
                <w:szCs w:val="21"/>
              </w:rPr>
            </w:pPr>
            <w:r>
              <w:rPr>
                <w:rFonts w:hint="eastAsia"/>
                <w:spacing w:val="4"/>
                <w:sz w:val="21"/>
                <w:szCs w:val="21"/>
              </w:rPr>
              <w:t>输出信号：</w:t>
            </w:r>
            <w:r>
              <w:rPr>
                <w:spacing w:val="4"/>
                <w:sz w:val="21"/>
                <w:szCs w:val="21"/>
              </w:rPr>
              <w:t>4-20mA。</w:t>
            </w:r>
          </w:p>
          <w:p>
            <w:pPr>
              <w:pStyle w:val="4"/>
              <w:kinsoku w:val="0"/>
              <w:overflowPunct w:val="0"/>
              <w:spacing w:line="400" w:lineRule="exact"/>
              <w:jc w:val="both"/>
              <w:rPr>
                <w:spacing w:val="4"/>
                <w:sz w:val="21"/>
                <w:szCs w:val="21"/>
              </w:rPr>
            </w:pPr>
            <w:r>
              <w:rPr>
                <w:spacing w:val="4"/>
                <w:sz w:val="21"/>
                <w:szCs w:val="21"/>
              </w:rPr>
              <w:t>16.人体红外开关</w:t>
            </w:r>
          </w:p>
          <w:p>
            <w:pPr>
              <w:pStyle w:val="4"/>
              <w:kinsoku w:val="0"/>
              <w:overflowPunct w:val="0"/>
              <w:spacing w:line="400" w:lineRule="exact"/>
              <w:jc w:val="both"/>
              <w:rPr>
                <w:spacing w:val="4"/>
                <w:sz w:val="21"/>
                <w:szCs w:val="21"/>
              </w:rPr>
            </w:pPr>
            <w:r>
              <w:rPr>
                <w:rFonts w:hint="eastAsia"/>
                <w:spacing w:val="4"/>
                <w:sz w:val="21"/>
                <w:szCs w:val="21"/>
              </w:rPr>
              <w:t>输出形式：继电器触发</w:t>
            </w:r>
          </w:p>
          <w:p>
            <w:pPr>
              <w:pStyle w:val="4"/>
              <w:kinsoku w:val="0"/>
              <w:overflowPunct w:val="0"/>
              <w:spacing w:line="400" w:lineRule="exact"/>
              <w:jc w:val="both"/>
              <w:rPr>
                <w:spacing w:val="4"/>
                <w:sz w:val="21"/>
                <w:szCs w:val="21"/>
              </w:rPr>
            </w:pPr>
            <w:r>
              <w:rPr>
                <w:rFonts w:hint="eastAsia"/>
                <w:spacing w:val="4"/>
                <w:sz w:val="21"/>
                <w:szCs w:val="21"/>
              </w:rPr>
              <w:t>延时时间：</w:t>
            </w:r>
            <w:r>
              <w:rPr>
                <w:spacing w:val="4"/>
                <w:sz w:val="21"/>
                <w:szCs w:val="21"/>
              </w:rPr>
              <w:t>6s~5min可调</w:t>
            </w:r>
          </w:p>
          <w:p>
            <w:pPr>
              <w:pStyle w:val="4"/>
              <w:kinsoku w:val="0"/>
              <w:overflowPunct w:val="0"/>
              <w:spacing w:line="400" w:lineRule="exact"/>
              <w:jc w:val="both"/>
              <w:rPr>
                <w:spacing w:val="4"/>
                <w:sz w:val="21"/>
                <w:szCs w:val="21"/>
              </w:rPr>
            </w:pPr>
            <w:r>
              <w:rPr>
                <w:rFonts w:hint="eastAsia"/>
                <w:spacing w:val="4"/>
                <w:sz w:val="21"/>
                <w:szCs w:val="21"/>
              </w:rPr>
              <w:t>感应距离：</w:t>
            </w:r>
            <w:r>
              <w:rPr>
                <w:spacing w:val="4"/>
                <w:sz w:val="21"/>
                <w:szCs w:val="21"/>
              </w:rPr>
              <w:t>0~10米</w:t>
            </w:r>
          </w:p>
          <w:p>
            <w:pPr>
              <w:pStyle w:val="4"/>
              <w:kinsoku w:val="0"/>
              <w:overflowPunct w:val="0"/>
              <w:spacing w:line="400" w:lineRule="exact"/>
              <w:jc w:val="both"/>
              <w:rPr>
                <w:spacing w:val="4"/>
                <w:sz w:val="21"/>
                <w:szCs w:val="21"/>
              </w:rPr>
            </w:pPr>
            <w:r>
              <w:rPr>
                <w:spacing w:val="4"/>
                <w:sz w:val="21"/>
                <w:szCs w:val="21"/>
              </w:rPr>
              <w:t>17.卫星定位模块</w:t>
            </w:r>
          </w:p>
          <w:p>
            <w:pPr>
              <w:pStyle w:val="4"/>
              <w:kinsoku w:val="0"/>
              <w:overflowPunct w:val="0"/>
              <w:spacing w:line="400" w:lineRule="exact"/>
              <w:jc w:val="both"/>
              <w:rPr>
                <w:spacing w:val="4"/>
                <w:sz w:val="21"/>
                <w:szCs w:val="21"/>
              </w:rPr>
            </w:pPr>
            <w:r>
              <w:rPr>
                <w:rFonts w:hint="eastAsia"/>
                <w:spacing w:val="4"/>
                <w:sz w:val="21"/>
                <w:szCs w:val="21"/>
              </w:rPr>
              <w:t>具备</w:t>
            </w:r>
            <w:r>
              <w:rPr>
                <w:spacing w:val="4"/>
                <w:sz w:val="21"/>
                <w:szCs w:val="21"/>
              </w:rPr>
              <w:t>RS-485串口，支持全双工和半双工串口通讯；</w:t>
            </w:r>
          </w:p>
          <w:p>
            <w:pPr>
              <w:pStyle w:val="4"/>
              <w:kinsoku w:val="0"/>
              <w:overflowPunct w:val="0"/>
              <w:spacing w:line="400" w:lineRule="exact"/>
              <w:jc w:val="both"/>
              <w:rPr>
                <w:spacing w:val="4"/>
                <w:sz w:val="21"/>
                <w:szCs w:val="21"/>
              </w:rPr>
            </w:pPr>
            <w:r>
              <w:rPr>
                <w:rFonts w:hint="eastAsia"/>
                <w:spacing w:val="4"/>
                <w:sz w:val="21"/>
                <w:szCs w:val="21"/>
              </w:rPr>
              <w:t>支持通过串口命令配置；</w:t>
            </w:r>
          </w:p>
          <w:p>
            <w:pPr>
              <w:pStyle w:val="4"/>
              <w:kinsoku w:val="0"/>
              <w:overflowPunct w:val="0"/>
              <w:spacing w:line="400" w:lineRule="exact"/>
              <w:ind w:left="0"/>
              <w:jc w:val="both"/>
              <w:rPr>
                <w:spacing w:val="4"/>
                <w:sz w:val="21"/>
                <w:szCs w:val="21"/>
              </w:rPr>
            </w:pPr>
            <w:r>
              <w:rPr>
                <w:rFonts w:hint="eastAsia"/>
                <w:spacing w:val="4"/>
                <w:sz w:val="21"/>
                <w:szCs w:val="21"/>
              </w:rPr>
              <w:t>支持天线检测及天线短路保护功能；</w:t>
            </w:r>
          </w:p>
        </w:tc>
        <w:tc>
          <w:tcPr>
            <w:tcW w:w="465"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套</w:t>
            </w:r>
          </w:p>
        </w:tc>
        <w:tc>
          <w:tcPr>
            <w:tcW w:w="507"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4</w:t>
            </w:r>
          </w:p>
        </w:tc>
        <w:tc>
          <w:tcPr>
            <w:tcW w:w="687"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硬件</w:t>
            </w:r>
          </w:p>
        </w:tc>
        <w:tc>
          <w:tcPr>
            <w:tcW w:w="992"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执行器套件</w:t>
            </w:r>
          </w:p>
        </w:tc>
        <w:tc>
          <w:tcPr>
            <w:tcW w:w="5065" w:type="dxa"/>
            <w:vAlign w:val="center"/>
          </w:tcPr>
          <w:p>
            <w:pPr>
              <w:pStyle w:val="4"/>
              <w:kinsoku w:val="0"/>
              <w:overflowPunct w:val="0"/>
              <w:spacing w:line="400" w:lineRule="exact"/>
              <w:jc w:val="both"/>
              <w:rPr>
                <w:spacing w:val="4"/>
                <w:sz w:val="21"/>
                <w:szCs w:val="21"/>
              </w:rPr>
            </w:pPr>
            <w:r>
              <w:rPr>
                <w:spacing w:val="4"/>
                <w:sz w:val="21"/>
                <w:szCs w:val="21"/>
              </w:rPr>
              <w:t>1.RGB控制器</w:t>
            </w:r>
          </w:p>
          <w:p>
            <w:pPr>
              <w:pStyle w:val="4"/>
              <w:kinsoku w:val="0"/>
              <w:overflowPunct w:val="0"/>
              <w:spacing w:line="400" w:lineRule="exact"/>
              <w:jc w:val="both"/>
              <w:rPr>
                <w:spacing w:val="4"/>
                <w:sz w:val="21"/>
                <w:szCs w:val="21"/>
              </w:rPr>
            </w:pPr>
            <w:r>
              <w:rPr>
                <w:rFonts w:hint="eastAsia"/>
                <w:spacing w:val="4"/>
                <w:sz w:val="21"/>
                <w:szCs w:val="21"/>
              </w:rPr>
              <w:t>通信协议为</w:t>
            </w:r>
            <w:r>
              <w:rPr>
                <w:spacing w:val="4"/>
                <w:sz w:val="21"/>
                <w:szCs w:val="21"/>
              </w:rPr>
              <w:t>RS485且适用于共阳RGB灯具</w:t>
            </w:r>
          </w:p>
          <w:p>
            <w:pPr>
              <w:pStyle w:val="4"/>
              <w:kinsoku w:val="0"/>
              <w:overflowPunct w:val="0"/>
              <w:spacing w:line="400" w:lineRule="exact"/>
              <w:jc w:val="both"/>
              <w:rPr>
                <w:spacing w:val="4"/>
                <w:sz w:val="21"/>
                <w:szCs w:val="21"/>
              </w:rPr>
            </w:pPr>
            <w:r>
              <w:rPr>
                <w:spacing w:val="4"/>
                <w:sz w:val="21"/>
                <w:szCs w:val="21"/>
              </w:rPr>
              <w:t>2.RGB灯带</w:t>
            </w:r>
          </w:p>
          <w:p>
            <w:pPr>
              <w:pStyle w:val="4"/>
              <w:kinsoku w:val="0"/>
              <w:overflowPunct w:val="0"/>
              <w:spacing w:line="400" w:lineRule="exact"/>
              <w:jc w:val="both"/>
              <w:rPr>
                <w:spacing w:val="4"/>
                <w:sz w:val="21"/>
                <w:szCs w:val="21"/>
              </w:rPr>
            </w:pPr>
            <w:r>
              <w:rPr>
                <w:rFonts w:hint="eastAsia"/>
                <w:spacing w:val="4"/>
                <w:sz w:val="21"/>
                <w:szCs w:val="21"/>
              </w:rPr>
              <w:t>工作电压：</w:t>
            </w:r>
            <w:r>
              <w:rPr>
                <w:spacing w:val="4"/>
                <w:sz w:val="21"/>
                <w:szCs w:val="21"/>
              </w:rPr>
              <w:t>DC12V</w:t>
            </w:r>
          </w:p>
          <w:p>
            <w:pPr>
              <w:pStyle w:val="4"/>
              <w:kinsoku w:val="0"/>
              <w:overflowPunct w:val="0"/>
              <w:spacing w:line="400" w:lineRule="exact"/>
              <w:jc w:val="both"/>
              <w:rPr>
                <w:spacing w:val="4"/>
                <w:sz w:val="21"/>
                <w:szCs w:val="21"/>
              </w:rPr>
            </w:pPr>
            <w:r>
              <w:rPr>
                <w:rFonts w:hint="eastAsia"/>
                <w:spacing w:val="4"/>
                <w:sz w:val="21"/>
                <w:szCs w:val="21"/>
              </w:rPr>
              <w:t>颜色：红黄蓝</w:t>
            </w:r>
          </w:p>
          <w:p>
            <w:pPr>
              <w:pStyle w:val="4"/>
              <w:kinsoku w:val="0"/>
              <w:overflowPunct w:val="0"/>
              <w:spacing w:line="400" w:lineRule="exact"/>
              <w:jc w:val="both"/>
              <w:rPr>
                <w:spacing w:val="4"/>
                <w:sz w:val="21"/>
                <w:szCs w:val="21"/>
              </w:rPr>
            </w:pPr>
            <w:r>
              <w:rPr>
                <w:spacing w:val="4"/>
                <w:sz w:val="21"/>
                <w:szCs w:val="21"/>
              </w:rPr>
              <w:t>3.三色灯</w:t>
            </w:r>
          </w:p>
          <w:p>
            <w:pPr>
              <w:pStyle w:val="4"/>
              <w:kinsoku w:val="0"/>
              <w:overflowPunct w:val="0"/>
              <w:spacing w:line="400" w:lineRule="exact"/>
              <w:jc w:val="both"/>
              <w:rPr>
                <w:spacing w:val="4"/>
                <w:sz w:val="21"/>
                <w:szCs w:val="21"/>
              </w:rPr>
            </w:pPr>
            <w:r>
              <w:rPr>
                <w:rFonts w:hint="eastAsia"/>
                <w:spacing w:val="4"/>
                <w:sz w:val="21"/>
                <w:szCs w:val="21"/>
              </w:rPr>
              <w:t>工作电源：</w:t>
            </w:r>
            <w:r>
              <w:rPr>
                <w:spacing w:val="4"/>
                <w:sz w:val="21"/>
                <w:szCs w:val="21"/>
              </w:rPr>
              <w:t>24VDC</w:t>
            </w:r>
          </w:p>
          <w:p>
            <w:pPr>
              <w:pStyle w:val="4"/>
              <w:kinsoku w:val="0"/>
              <w:overflowPunct w:val="0"/>
              <w:spacing w:line="400" w:lineRule="exact"/>
              <w:jc w:val="both"/>
              <w:rPr>
                <w:spacing w:val="4"/>
                <w:sz w:val="21"/>
                <w:szCs w:val="21"/>
              </w:rPr>
            </w:pPr>
            <w:r>
              <w:rPr>
                <w:rFonts w:hint="eastAsia"/>
                <w:spacing w:val="4"/>
                <w:sz w:val="21"/>
                <w:szCs w:val="21"/>
              </w:rPr>
              <w:t>红、绿、黄三色</w:t>
            </w:r>
            <w:r>
              <w:rPr>
                <w:spacing w:val="4"/>
                <w:sz w:val="21"/>
                <w:szCs w:val="21"/>
              </w:rPr>
              <w:t>LED灯</w:t>
            </w:r>
          </w:p>
          <w:p>
            <w:pPr>
              <w:pStyle w:val="4"/>
              <w:kinsoku w:val="0"/>
              <w:overflowPunct w:val="0"/>
              <w:spacing w:line="400" w:lineRule="exact"/>
              <w:jc w:val="both"/>
              <w:rPr>
                <w:spacing w:val="4"/>
                <w:sz w:val="21"/>
                <w:szCs w:val="21"/>
              </w:rPr>
            </w:pPr>
            <w:r>
              <w:rPr>
                <w:rFonts w:hint="eastAsia"/>
                <w:spacing w:val="4"/>
                <w:sz w:val="21"/>
                <w:szCs w:val="21"/>
              </w:rPr>
              <w:t>最大电流：</w:t>
            </w:r>
            <w:r>
              <w:rPr>
                <w:spacing w:val="4"/>
                <w:sz w:val="21"/>
                <w:szCs w:val="21"/>
              </w:rPr>
              <w:t>0.1A、2.4W</w:t>
            </w:r>
          </w:p>
          <w:p>
            <w:pPr>
              <w:pStyle w:val="4"/>
              <w:kinsoku w:val="0"/>
              <w:overflowPunct w:val="0"/>
              <w:spacing w:line="400" w:lineRule="exact"/>
              <w:jc w:val="both"/>
              <w:rPr>
                <w:spacing w:val="4"/>
                <w:sz w:val="21"/>
                <w:szCs w:val="21"/>
              </w:rPr>
            </w:pPr>
            <w:r>
              <w:rPr>
                <w:rFonts w:hint="eastAsia"/>
                <w:spacing w:val="4"/>
                <w:sz w:val="21"/>
                <w:szCs w:val="21"/>
              </w:rPr>
              <w:t>抗振动：</w:t>
            </w:r>
            <w:r>
              <w:rPr>
                <w:spacing w:val="4"/>
                <w:sz w:val="21"/>
                <w:szCs w:val="21"/>
              </w:rPr>
              <w:t>10-2000Hz，1mm，15g</w:t>
            </w:r>
          </w:p>
          <w:p>
            <w:pPr>
              <w:pStyle w:val="4"/>
              <w:kinsoku w:val="0"/>
              <w:overflowPunct w:val="0"/>
              <w:spacing w:line="400" w:lineRule="exact"/>
              <w:jc w:val="both"/>
              <w:rPr>
                <w:spacing w:val="4"/>
                <w:sz w:val="21"/>
                <w:szCs w:val="21"/>
              </w:rPr>
            </w:pPr>
            <w:r>
              <w:rPr>
                <w:spacing w:val="4"/>
                <w:sz w:val="21"/>
                <w:szCs w:val="21"/>
              </w:rPr>
              <w:t>4.直流电动推杆</w:t>
            </w:r>
          </w:p>
          <w:p>
            <w:pPr>
              <w:pStyle w:val="4"/>
              <w:kinsoku w:val="0"/>
              <w:overflowPunct w:val="0"/>
              <w:spacing w:line="400" w:lineRule="exact"/>
              <w:jc w:val="both"/>
              <w:rPr>
                <w:spacing w:val="4"/>
                <w:sz w:val="21"/>
                <w:szCs w:val="21"/>
              </w:rPr>
            </w:pPr>
            <w:r>
              <w:rPr>
                <w:rFonts w:hint="eastAsia"/>
                <w:spacing w:val="4"/>
                <w:sz w:val="21"/>
                <w:szCs w:val="21"/>
              </w:rPr>
              <w:t>工作行程：</w:t>
            </w:r>
            <w:r>
              <w:rPr>
                <w:spacing w:val="4"/>
                <w:sz w:val="21"/>
                <w:szCs w:val="21"/>
              </w:rPr>
              <w:t>200mm</w:t>
            </w:r>
          </w:p>
          <w:p>
            <w:pPr>
              <w:pStyle w:val="4"/>
              <w:kinsoku w:val="0"/>
              <w:overflowPunct w:val="0"/>
              <w:spacing w:line="400" w:lineRule="exact"/>
              <w:jc w:val="both"/>
              <w:rPr>
                <w:spacing w:val="4"/>
                <w:sz w:val="21"/>
                <w:szCs w:val="21"/>
              </w:rPr>
            </w:pPr>
            <w:r>
              <w:rPr>
                <w:rFonts w:hint="eastAsia"/>
                <w:spacing w:val="4"/>
                <w:sz w:val="21"/>
                <w:szCs w:val="21"/>
              </w:rPr>
              <w:t>工作速度：</w:t>
            </w:r>
            <w:r>
              <w:rPr>
                <w:spacing w:val="4"/>
                <w:sz w:val="21"/>
                <w:szCs w:val="21"/>
              </w:rPr>
              <w:t>20mm/s</w:t>
            </w:r>
          </w:p>
          <w:p>
            <w:pPr>
              <w:pStyle w:val="4"/>
              <w:kinsoku w:val="0"/>
              <w:overflowPunct w:val="0"/>
              <w:spacing w:line="400" w:lineRule="exact"/>
              <w:jc w:val="both"/>
              <w:rPr>
                <w:spacing w:val="4"/>
                <w:sz w:val="21"/>
                <w:szCs w:val="21"/>
              </w:rPr>
            </w:pPr>
            <w:r>
              <w:rPr>
                <w:rFonts w:hint="eastAsia"/>
                <w:spacing w:val="4"/>
                <w:sz w:val="21"/>
                <w:szCs w:val="21"/>
              </w:rPr>
              <w:t>最大推力：</w:t>
            </w:r>
            <w:r>
              <w:rPr>
                <w:spacing w:val="4"/>
                <w:sz w:val="21"/>
                <w:szCs w:val="21"/>
              </w:rPr>
              <w:t>500N</w:t>
            </w:r>
          </w:p>
          <w:p>
            <w:pPr>
              <w:pStyle w:val="4"/>
              <w:kinsoku w:val="0"/>
              <w:overflowPunct w:val="0"/>
              <w:spacing w:line="400" w:lineRule="exact"/>
              <w:jc w:val="both"/>
              <w:rPr>
                <w:spacing w:val="4"/>
                <w:sz w:val="21"/>
                <w:szCs w:val="21"/>
              </w:rPr>
            </w:pPr>
            <w:r>
              <w:rPr>
                <w:spacing w:val="4"/>
                <w:sz w:val="21"/>
                <w:szCs w:val="21"/>
              </w:rPr>
              <w:t>5.直流电机</w:t>
            </w:r>
          </w:p>
          <w:p>
            <w:pPr>
              <w:pStyle w:val="4"/>
              <w:kinsoku w:val="0"/>
              <w:overflowPunct w:val="0"/>
              <w:spacing w:line="400" w:lineRule="exact"/>
              <w:jc w:val="both"/>
              <w:rPr>
                <w:spacing w:val="4"/>
                <w:sz w:val="21"/>
                <w:szCs w:val="21"/>
              </w:rPr>
            </w:pPr>
            <w:r>
              <w:rPr>
                <w:rFonts w:hint="eastAsia"/>
                <w:spacing w:val="4"/>
                <w:sz w:val="21"/>
                <w:szCs w:val="21"/>
              </w:rPr>
              <w:t>电机特点：微型低速正反转直流减速电机、慢速调速大扭矩小马达</w:t>
            </w:r>
          </w:p>
          <w:p>
            <w:pPr>
              <w:pStyle w:val="4"/>
              <w:kinsoku w:val="0"/>
              <w:overflowPunct w:val="0"/>
              <w:spacing w:line="400" w:lineRule="exact"/>
              <w:jc w:val="both"/>
              <w:rPr>
                <w:spacing w:val="4"/>
                <w:sz w:val="21"/>
                <w:szCs w:val="21"/>
              </w:rPr>
            </w:pPr>
            <w:r>
              <w:rPr>
                <w:rFonts w:hint="eastAsia"/>
                <w:spacing w:val="4"/>
                <w:sz w:val="21"/>
                <w:szCs w:val="21"/>
              </w:rPr>
              <w:t>工作电压：</w:t>
            </w:r>
            <w:r>
              <w:rPr>
                <w:spacing w:val="4"/>
                <w:sz w:val="21"/>
                <w:szCs w:val="21"/>
              </w:rPr>
              <w:t>DC24V</w:t>
            </w:r>
          </w:p>
          <w:p>
            <w:pPr>
              <w:pStyle w:val="4"/>
              <w:kinsoku w:val="0"/>
              <w:overflowPunct w:val="0"/>
              <w:spacing w:line="400" w:lineRule="exact"/>
              <w:jc w:val="both"/>
              <w:rPr>
                <w:spacing w:val="4"/>
                <w:sz w:val="21"/>
                <w:szCs w:val="21"/>
              </w:rPr>
            </w:pPr>
            <w:r>
              <w:rPr>
                <w:rFonts w:hint="eastAsia"/>
                <w:spacing w:val="4"/>
                <w:sz w:val="21"/>
                <w:szCs w:val="21"/>
              </w:rPr>
              <w:t>配套调速板：输出功率</w:t>
            </w:r>
            <w:r>
              <w:rPr>
                <w:spacing w:val="4"/>
                <w:sz w:val="21"/>
                <w:szCs w:val="21"/>
              </w:rPr>
              <w:t>1W-120W；</w:t>
            </w:r>
          </w:p>
          <w:p>
            <w:pPr>
              <w:pStyle w:val="4"/>
              <w:kinsoku w:val="0"/>
              <w:overflowPunct w:val="0"/>
              <w:spacing w:line="400" w:lineRule="exact"/>
              <w:jc w:val="both"/>
              <w:rPr>
                <w:spacing w:val="4"/>
                <w:sz w:val="21"/>
                <w:szCs w:val="21"/>
              </w:rPr>
            </w:pPr>
            <w:r>
              <w:rPr>
                <w:spacing w:val="4"/>
                <w:sz w:val="21"/>
                <w:szCs w:val="21"/>
              </w:rPr>
              <w:t>6.LED显示屏</w:t>
            </w:r>
          </w:p>
          <w:p>
            <w:pPr>
              <w:pStyle w:val="4"/>
              <w:kinsoku w:val="0"/>
              <w:overflowPunct w:val="0"/>
              <w:spacing w:line="400" w:lineRule="exact"/>
              <w:jc w:val="both"/>
              <w:rPr>
                <w:spacing w:val="4"/>
                <w:sz w:val="21"/>
                <w:szCs w:val="21"/>
              </w:rPr>
            </w:pPr>
            <w:r>
              <w:rPr>
                <w:rFonts w:hint="eastAsia"/>
                <w:spacing w:val="4"/>
                <w:sz w:val="21"/>
                <w:szCs w:val="21"/>
              </w:rPr>
              <w:t>存储容量大于</w:t>
            </w:r>
            <w:r>
              <w:rPr>
                <w:spacing w:val="4"/>
                <w:sz w:val="21"/>
                <w:szCs w:val="21"/>
              </w:rPr>
              <w:t>2M</w:t>
            </w:r>
          </w:p>
          <w:p>
            <w:pPr>
              <w:pStyle w:val="4"/>
              <w:kinsoku w:val="0"/>
              <w:overflowPunct w:val="0"/>
              <w:spacing w:line="400" w:lineRule="exact"/>
              <w:jc w:val="both"/>
              <w:rPr>
                <w:spacing w:val="4"/>
                <w:sz w:val="21"/>
                <w:szCs w:val="21"/>
              </w:rPr>
            </w:pPr>
            <w:r>
              <w:rPr>
                <w:rFonts w:hint="eastAsia"/>
                <w:spacing w:val="4"/>
                <w:sz w:val="21"/>
                <w:szCs w:val="21"/>
              </w:rPr>
              <w:t>通讯方式支持串口</w:t>
            </w:r>
          </w:p>
          <w:p>
            <w:pPr>
              <w:pStyle w:val="4"/>
              <w:kinsoku w:val="0"/>
              <w:overflowPunct w:val="0"/>
              <w:spacing w:line="400" w:lineRule="exact"/>
              <w:jc w:val="both"/>
              <w:rPr>
                <w:spacing w:val="4"/>
                <w:sz w:val="21"/>
                <w:szCs w:val="21"/>
              </w:rPr>
            </w:pPr>
            <w:r>
              <w:rPr>
                <w:rFonts w:hint="eastAsia"/>
                <w:spacing w:val="4"/>
                <w:sz w:val="21"/>
                <w:szCs w:val="21"/>
              </w:rPr>
              <w:t>通讯波特率支持</w:t>
            </w:r>
            <w:r>
              <w:rPr>
                <w:spacing w:val="4"/>
                <w:sz w:val="21"/>
                <w:szCs w:val="21"/>
              </w:rPr>
              <w:t>9600～115200</w:t>
            </w:r>
          </w:p>
          <w:p>
            <w:pPr>
              <w:pStyle w:val="4"/>
              <w:kinsoku w:val="0"/>
              <w:overflowPunct w:val="0"/>
              <w:spacing w:line="400" w:lineRule="exact"/>
              <w:jc w:val="both"/>
              <w:rPr>
                <w:spacing w:val="4"/>
                <w:sz w:val="21"/>
                <w:szCs w:val="21"/>
              </w:rPr>
            </w:pPr>
            <w:r>
              <w:rPr>
                <w:spacing w:val="4"/>
                <w:sz w:val="21"/>
                <w:szCs w:val="21"/>
              </w:rPr>
              <w:t>7.热敏票据打印机</w:t>
            </w:r>
          </w:p>
          <w:p>
            <w:pPr>
              <w:pStyle w:val="4"/>
              <w:kinsoku w:val="0"/>
              <w:overflowPunct w:val="0"/>
              <w:spacing w:line="400" w:lineRule="exact"/>
              <w:jc w:val="both"/>
              <w:rPr>
                <w:spacing w:val="4"/>
                <w:sz w:val="21"/>
                <w:szCs w:val="21"/>
              </w:rPr>
            </w:pPr>
            <w:r>
              <w:rPr>
                <w:rFonts w:hint="eastAsia"/>
                <w:spacing w:val="4"/>
                <w:sz w:val="21"/>
                <w:szCs w:val="21"/>
              </w:rPr>
              <w:t>打印方法支持：热敏点行打印；</w:t>
            </w:r>
          </w:p>
          <w:p>
            <w:pPr>
              <w:pStyle w:val="4"/>
              <w:kinsoku w:val="0"/>
              <w:overflowPunct w:val="0"/>
              <w:spacing w:line="400" w:lineRule="exact"/>
              <w:jc w:val="both"/>
              <w:rPr>
                <w:spacing w:val="4"/>
                <w:sz w:val="21"/>
                <w:szCs w:val="21"/>
              </w:rPr>
            </w:pPr>
            <w:r>
              <w:rPr>
                <w:rFonts w:hint="eastAsia"/>
                <w:spacing w:val="4"/>
                <w:sz w:val="21"/>
                <w:szCs w:val="21"/>
              </w:rPr>
              <w:t>打印字库支持：</w:t>
            </w:r>
            <w:r>
              <w:rPr>
                <w:spacing w:val="4"/>
                <w:sz w:val="21"/>
                <w:szCs w:val="21"/>
              </w:rPr>
              <w:t>12x24 24x24；</w:t>
            </w:r>
          </w:p>
          <w:p>
            <w:pPr>
              <w:pStyle w:val="4"/>
              <w:kinsoku w:val="0"/>
              <w:overflowPunct w:val="0"/>
              <w:spacing w:line="400" w:lineRule="exact"/>
              <w:jc w:val="both"/>
              <w:rPr>
                <w:spacing w:val="4"/>
                <w:sz w:val="21"/>
                <w:szCs w:val="21"/>
              </w:rPr>
            </w:pPr>
            <w:r>
              <w:rPr>
                <w:rFonts w:hint="eastAsia"/>
                <w:spacing w:val="4"/>
                <w:sz w:val="21"/>
                <w:szCs w:val="21"/>
              </w:rPr>
              <w:t>有效打印宽度大于</w:t>
            </w:r>
            <w:r>
              <w:rPr>
                <w:spacing w:val="4"/>
                <w:sz w:val="21"/>
                <w:szCs w:val="21"/>
              </w:rPr>
              <w:t>57.5mm±0.5；</w:t>
            </w:r>
          </w:p>
          <w:p>
            <w:pPr>
              <w:pStyle w:val="4"/>
              <w:kinsoku w:val="0"/>
              <w:overflowPunct w:val="0"/>
              <w:spacing w:line="400" w:lineRule="exact"/>
              <w:jc w:val="both"/>
              <w:rPr>
                <w:spacing w:val="4"/>
                <w:sz w:val="21"/>
                <w:szCs w:val="21"/>
              </w:rPr>
            </w:pPr>
            <w:r>
              <w:rPr>
                <w:rFonts w:hint="eastAsia"/>
                <w:spacing w:val="4"/>
                <w:sz w:val="21"/>
                <w:szCs w:val="21"/>
              </w:rPr>
              <w:t>打印速度：不低于</w:t>
            </w:r>
            <w:r>
              <w:rPr>
                <w:spacing w:val="4"/>
                <w:sz w:val="21"/>
                <w:szCs w:val="21"/>
              </w:rPr>
              <w:t>80mm/秒；</w:t>
            </w:r>
          </w:p>
          <w:p>
            <w:pPr>
              <w:pStyle w:val="4"/>
              <w:kinsoku w:val="0"/>
              <w:overflowPunct w:val="0"/>
              <w:spacing w:line="400" w:lineRule="exact"/>
              <w:jc w:val="both"/>
              <w:rPr>
                <w:spacing w:val="4"/>
                <w:sz w:val="21"/>
                <w:szCs w:val="21"/>
              </w:rPr>
            </w:pPr>
            <w:r>
              <w:rPr>
                <w:rFonts w:hint="eastAsia"/>
                <w:spacing w:val="4"/>
                <w:sz w:val="21"/>
                <w:szCs w:val="21"/>
              </w:rPr>
              <w:t>打印纸类型支持：热敏纸，外径最大</w:t>
            </w:r>
            <w:r>
              <w:rPr>
                <w:spacing w:val="4"/>
                <w:sz w:val="21"/>
                <w:szCs w:val="21"/>
              </w:rPr>
              <w:t>60mm内径最小30mm；</w:t>
            </w:r>
          </w:p>
          <w:p>
            <w:pPr>
              <w:pStyle w:val="4"/>
              <w:kinsoku w:val="0"/>
              <w:overflowPunct w:val="0"/>
              <w:spacing w:line="400" w:lineRule="exact"/>
              <w:jc w:val="both"/>
              <w:rPr>
                <w:spacing w:val="4"/>
                <w:sz w:val="21"/>
                <w:szCs w:val="21"/>
              </w:rPr>
            </w:pPr>
            <w:r>
              <w:rPr>
                <w:rFonts w:hint="eastAsia"/>
                <w:spacing w:val="4"/>
                <w:sz w:val="21"/>
                <w:szCs w:val="21"/>
              </w:rPr>
              <w:t>字符打印控制：支持</w:t>
            </w:r>
            <w:r>
              <w:rPr>
                <w:spacing w:val="4"/>
                <w:sz w:val="21"/>
                <w:szCs w:val="21"/>
              </w:rPr>
              <w:t>ANK字符集，图标一,二级汉字库；</w:t>
            </w:r>
          </w:p>
          <w:p>
            <w:pPr>
              <w:pStyle w:val="4"/>
              <w:kinsoku w:val="0"/>
              <w:overflowPunct w:val="0"/>
              <w:spacing w:line="400" w:lineRule="exact"/>
              <w:jc w:val="both"/>
              <w:rPr>
                <w:spacing w:val="4"/>
                <w:sz w:val="21"/>
                <w:szCs w:val="21"/>
              </w:rPr>
            </w:pPr>
            <w:r>
              <w:rPr>
                <w:spacing w:val="4"/>
                <w:sz w:val="21"/>
                <w:szCs w:val="21"/>
              </w:rPr>
              <w:t>8.LED灯</w:t>
            </w:r>
          </w:p>
          <w:p>
            <w:pPr>
              <w:pStyle w:val="4"/>
              <w:kinsoku w:val="0"/>
              <w:overflowPunct w:val="0"/>
              <w:spacing w:line="400" w:lineRule="exact"/>
              <w:jc w:val="both"/>
              <w:rPr>
                <w:spacing w:val="4"/>
                <w:sz w:val="21"/>
                <w:szCs w:val="21"/>
              </w:rPr>
            </w:pPr>
            <w:r>
              <w:rPr>
                <w:rFonts w:hint="eastAsia"/>
                <w:spacing w:val="4"/>
                <w:sz w:val="21"/>
                <w:szCs w:val="21"/>
              </w:rPr>
              <w:t>工作电源：</w:t>
            </w:r>
            <w:r>
              <w:rPr>
                <w:spacing w:val="4"/>
                <w:sz w:val="21"/>
                <w:szCs w:val="21"/>
              </w:rPr>
              <w:t>12~24V DC</w:t>
            </w:r>
          </w:p>
          <w:p>
            <w:pPr>
              <w:pStyle w:val="4"/>
              <w:kinsoku w:val="0"/>
              <w:overflowPunct w:val="0"/>
              <w:spacing w:line="400" w:lineRule="exact"/>
              <w:jc w:val="both"/>
              <w:rPr>
                <w:spacing w:val="4"/>
                <w:sz w:val="21"/>
                <w:szCs w:val="21"/>
              </w:rPr>
            </w:pPr>
            <w:r>
              <w:rPr>
                <w:spacing w:val="4"/>
                <w:sz w:val="21"/>
                <w:szCs w:val="21"/>
              </w:rPr>
              <w:t>9.风扇</w:t>
            </w:r>
          </w:p>
          <w:p>
            <w:pPr>
              <w:pStyle w:val="4"/>
              <w:kinsoku w:val="0"/>
              <w:overflowPunct w:val="0"/>
              <w:spacing w:line="400" w:lineRule="exact"/>
              <w:jc w:val="both"/>
              <w:rPr>
                <w:spacing w:val="4"/>
                <w:sz w:val="21"/>
                <w:szCs w:val="21"/>
              </w:rPr>
            </w:pPr>
            <w:r>
              <w:rPr>
                <w:rFonts w:hint="eastAsia"/>
                <w:spacing w:val="4"/>
                <w:sz w:val="21"/>
                <w:szCs w:val="21"/>
              </w:rPr>
              <w:t>工作电压：</w:t>
            </w:r>
            <w:r>
              <w:rPr>
                <w:spacing w:val="4"/>
                <w:sz w:val="21"/>
                <w:szCs w:val="21"/>
              </w:rPr>
              <w:t>DC24V</w:t>
            </w:r>
          </w:p>
          <w:p>
            <w:pPr>
              <w:pStyle w:val="4"/>
              <w:kinsoku w:val="0"/>
              <w:overflowPunct w:val="0"/>
              <w:spacing w:line="400" w:lineRule="exact"/>
              <w:jc w:val="both"/>
              <w:rPr>
                <w:spacing w:val="4"/>
                <w:sz w:val="21"/>
                <w:szCs w:val="21"/>
              </w:rPr>
            </w:pPr>
            <w:r>
              <w:rPr>
                <w:rFonts w:hint="eastAsia"/>
                <w:spacing w:val="4"/>
                <w:sz w:val="21"/>
                <w:szCs w:val="21"/>
              </w:rPr>
              <w:t>工作电流</w:t>
            </w:r>
            <w:r>
              <w:rPr>
                <w:spacing w:val="4"/>
                <w:sz w:val="21"/>
                <w:szCs w:val="21"/>
              </w:rPr>
              <w:t>(A)：0.09-0.25</w:t>
            </w:r>
          </w:p>
          <w:p>
            <w:pPr>
              <w:pStyle w:val="4"/>
              <w:kinsoku w:val="0"/>
              <w:overflowPunct w:val="0"/>
              <w:spacing w:line="400" w:lineRule="exact"/>
              <w:jc w:val="both"/>
              <w:rPr>
                <w:spacing w:val="4"/>
                <w:sz w:val="21"/>
                <w:szCs w:val="21"/>
              </w:rPr>
            </w:pPr>
            <w:r>
              <w:rPr>
                <w:rFonts w:hint="eastAsia"/>
                <w:spacing w:val="4"/>
                <w:sz w:val="21"/>
                <w:szCs w:val="21"/>
              </w:rPr>
              <w:t>转速</w:t>
            </w:r>
            <w:r>
              <w:rPr>
                <w:spacing w:val="4"/>
                <w:sz w:val="21"/>
                <w:szCs w:val="21"/>
              </w:rPr>
              <w:t>(RPM)：3000-4000</w:t>
            </w:r>
          </w:p>
          <w:p>
            <w:pPr>
              <w:pStyle w:val="4"/>
              <w:kinsoku w:val="0"/>
              <w:overflowPunct w:val="0"/>
              <w:spacing w:line="400" w:lineRule="exact"/>
              <w:jc w:val="both"/>
              <w:rPr>
                <w:spacing w:val="4"/>
                <w:sz w:val="21"/>
                <w:szCs w:val="21"/>
              </w:rPr>
            </w:pPr>
            <w:r>
              <w:rPr>
                <w:rFonts w:hint="eastAsia"/>
                <w:spacing w:val="4"/>
                <w:sz w:val="21"/>
                <w:szCs w:val="21"/>
              </w:rPr>
              <w:t>风量（</w:t>
            </w:r>
            <w:r>
              <w:rPr>
                <w:spacing w:val="4"/>
                <w:sz w:val="21"/>
                <w:szCs w:val="21"/>
              </w:rPr>
              <w:t>CFM）：24.42-34.18</w:t>
            </w:r>
          </w:p>
        </w:tc>
        <w:tc>
          <w:tcPr>
            <w:tcW w:w="465"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套</w:t>
            </w:r>
          </w:p>
        </w:tc>
        <w:tc>
          <w:tcPr>
            <w:tcW w:w="507"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5</w:t>
            </w:r>
          </w:p>
        </w:tc>
        <w:tc>
          <w:tcPr>
            <w:tcW w:w="687"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硬件</w:t>
            </w:r>
          </w:p>
        </w:tc>
        <w:tc>
          <w:tcPr>
            <w:tcW w:w="992"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网络链路套件</w:t>
            </w:r>
          </w:p>
        </w:tc>
        <w:tc>
          <w:tcPr>
            <w:tcW w:w="5065" w:type="dxa"/>
            <w:vAlign w:val="center"/>
          </w:tcPr>
          <w:p>
            <w:pPr>
              <w:pStyle w:val="4"/>
              <w:kinsoku w:val="0"/>
              <w:overflowPunct w:val="0"/>
              <w:spacing w:line="400" w:lineRule="exact"/>
              <w:jc w:val="both"/>
              <w:rPr>
                <w:spacing w:val="4"/>
                <w:sz w:val="21"/>
                <w:szCs w:val="21"/>
              </w:rPr>
            </w:pPr>
            <w:r>
              <w:rPr>
                <w:spacing w:val="4"/>
                <w:sz w:val="21"/>
                <w:szCs w:val="21"/>
              </w:rPr>
              <w:t>1.NB-IoT模块</w:t>
            </w:r>
          </w:p>
          <w:p>
            <w:pPr>
              <w:pStyle w:val="4"/>
              <w:kinsoku w:val="0"/>
              <w:overflowPunct w:val="0"/>
              <w:spacing w:line="400" w:lineRule="exact"/>
              <w:jc w:val="both"/>
              <w:rPr>
                <w:spacing w:val="4"/>
                <w:sz w:val="21"/>
                <w:szCs w:val="21"/>
              </w:rPr>
            </w:pPr>
            <w:r>
              <w:rPr>
                <w:rFonts w:hint="eastAsia"/>
                <w:spacing w:val="4"/>
                <w:sz w:val="21"/>
                <w:szCs w:val="21"/>
              </w:rPr>
              <w:t>内置嵌入式处理器，支持</w:t>
            </w:r>
            <w:r>
              <w:rPr>
                <w:spacing w:val="4"/>
                <w:sz w:val="21"/>
                <w:szCs w:val="21"/>
              </w:rPr>
              <w:t>ADC（12位）24个通道；</w:t>
            </w:r>
          </w:p>
          <w:p>
            <w:pPr>
              <w:pStyle w:val="4"/>
              <w:kinsoku w:val="0"/>
              <w:overflowPunct w:val="0"/>
              <w:spacing w:line="400" w:lineRule="exact"/>
              <w:jc w:val="both"/>
              <w:rPr>
                <w:spacing w:val="4"/>
                <w:sz w:val="21"/>
                <w:szCs w:val="21"/>
              </w:rPr>
            </w:pPr>
            <w:r>
              <w:rPr>
                <w:rFonts w:hint="eastAsia"/>
                <w:spacing w:val="4"/>
                <w:sz w:val="21"/>
                <w:szCs w:val="21"/>
              </w:rPr>
              <w:t>支持频段</w:t>
            </w:r>
            <w:r>
              <w:rPr>
                <w:spacing w:val="4"/>
                <w:sz w:val="21"/>
                <w:szCs w:val="21"/>
              </w:rPr>
              <w:t>B8(900MHz),B5(850MHz)；</w:t>
            </w:r>
          </w:p>
          <w:p>
            <w:pPr>
              <w:pStyle w:val="4"/>
              <w:kinsoku w:val="0"/>
              <w:overflowPunct w:val="0"/>
              <w:spacing w:line="400" w:lineRule="exact"/>
              <w:jc w:val="both"/>
              <w:rPr>
                <w:spacing w:val="4"/>
                <w:sz w:val="21"/>
                <w:szCs w:val="21"/>
              </w:rPr>
            </w:pPr>
            <w:r>
              <w:rPr>
                <w:rFonts w:hint="eastAsia"/>
                <w:spacing w:val="4"/>
                <w:sz w:val="21"/>
                <w:szCs w:val="21"/>
              </w:rPr>
              <w:t>支持</w:t>
            </w:r>
            <w:r>
              <w:rPr>
                <w:spacing w:val="4"/>
                <w:sz w:val="21"/>
                <w:szCs w:val="21"/>
              </w:rPr>
              <w:t>AT指令：3GPP TR 45.820和其它AT扩展指令；</w:t>
            </w:r>
          </w:p>
          <w:p>
            <w:pPr>
              <w:pStyle w:val="4"/>
              <w:kinsoku w:val="0"/>
              <w:overflowPunct w:val="0"/>
              <w:spacing w:line="400" w:lineRule="exact"/>
              <w:jc w:val="both"/>
              <w:rPr>
                <w:spacing w:val="4"/>
                <w:sz w:val="21"/>
                <w:szCs w:val="21"/>
              </w:rPr>
            </w:pPr>
            <w:r>
              <w:rPr>
                <w:rFonts w:hint="eastAsia"/>
                <w:spacing w:val="4"/>
                <w:sz w:val="21"/>
                <w:szCs w:val="21"/>
              </w:rPr>
              <w:t>下载方式支持</w:t>
            </w:r>
            <w:r>
              <w:rPr>
                <w:spacing w:val="4"/>
                <w:sz w:val="21"/>
                <w:szCs w:val="21"/>
              </w:rPr>
              <w:t>UART；</w:t>
            </w:r>
          </w:p>
          <w:p>
            <w:pPr>
              <w:pStyle w:val="4"/>
              <w:kinsoku w:val="0"/>
              <w:overflowPunct w:val="0"/>
              <w:spacing w:line="400" w:lineRule="exact"/>
              <w:jc w:val="both"/>
              <w:rPr>
                <w:spacing w:val="4"/>
                <w:sz w:val="21"/>
                <w:szCs w:val="21"/>
              </w:rPr>
            </w:pPr>
            <w:r>
              <w:rPr>
                <w:rFonts w:hint="eastAsia"/>
                <w:spacing w:val="4"/>
                <w:sz w:val="21"/>
                <w:szCs w:val="21"/>
              </w:rPr>
              <w:t>支持</w:t>
            </w:r>
            <w:r>
              <w:rPr>
                <w:spacing w:val="4"/>
                <w:sz w:val="21"/>
                <w:szCs w:val="21"/>
              </w:rPr>
              <w:t>OLED液晶：128x64；</w:t>
            </w:r>
          </w:p>
          <w:p>
            <w:pPr>
              <w:pStyle w:val="4"/>
              <w:kinsoku w:val="0"/>
              <w:overflowPunct w:val="0"/>
              <w:spacing w:line="400" w:lineRule="exact"/>
              <w:jc w:val="both"/>
              <w:rPr>
                <w:spacing w:val="4"/>
                <w:sz w:val="21"/>
                <w:szCs w:val="21"/>
              </w:rPr>
            </w:pPr>
            <w:r>
              <w:rPr>
                <w:rFonts w:hint="eastAsia"/>
                <w:spacing w:val="4"/>
                <w:sz w:val="21"/>
                <w:szCs w:val="21"/>
              </w:rPr>
              <w:t>支持</w:t>
            </w:r>
            <w:r>
              <w:rPr>
                <w:spacing w:val="4"/>
                <w:sz w:val="21"/>
                <w:szCs w:val="21"/>
              </w:rPr>
              <w:t>SWD调试接口；</w:t>
            </w:r>
          </w:p>
          <w:p>
            <w:pPr>
              <w:pStyle w:val="4"/>
              <w:kinsoku w:val="0"/>
              <w:overflowPunct w:val="0"/>
              <w:spacing w:line="400" w:lineRule="exact"/>
              <w:jc w:val="both"/>
              <w:rPr>
                <w:spacing w:val="4"/>
                <w:sz w:val="21"/>
                <w:szCs w:val="21"/>
              </w:rPr>
            </w:pPr>
            <w:r>
              <w:rPr>
                <w:rFonts w:hint="eastAsia"/>
                <w:spacing w:val="4"/>
                <w:sz w:val="21"/>
                <w:szCs w:val="21"/>
              </w:rPr>
              <w:t>支持传感器扩展接口。</w:t>
            </w:r>
          </w:p>
          <w:p>
            <w:pPr>
              <w:pStyle w:val="4"/>
              <w:kinsoku w:val="0"/>
              <w:overflowPunct w:val="0"/>
              <w:spacing w:line="400" w:lineRule="exact"/>
              <w:jc w:val="both"/>
              <w:rPr>
                <w:spacing w:val="4"/>
                <w:sz w:val="21"/>
                <w:szCs w:val="21"/>
              </w:rPr>
            </w:pPr>
            <w:r>
              <w:rPr>
                <w:spacing w:val="4"/>
                <w:sz w:val="21"/>
                <w:szCs w:val="21"/>
              </w:rPr>
              <w:t>2.LoRa模块</w:t>
            </w:r>
          </w:p>
          <w:p>
            <w:pPr>
              <w:pStyle w:val="4"/>
              <w:kinsoku w:val="0"/>
              <w:overflowPunct w:val="0"/>
              <w:spacing w:line="400" w:lineRule="exact"/>
              <w:jc w:val="both"/>
              <w:rPr>
                <w:spacing w:val="4"/>
                <w:sz w:val="21"/>
                <w:szCs w:val="21"/>
              </w:rPr>
            </w:pPr>
            <w:r>
              <w:rPr>
                <w:rFonts w:hint="eastAsia"/>
                <w:spacing w:val="4"/>
                <w:sz w:val="21"/>
                <w:szCs w:val="21"/>
              </w:rPr>
              <w:t>模块工作电压：</w:t>
            </w:r>
            <w:r>
              <w:rPr>
                <w:spacing w:val="4"/>
                <w:sz w:val="21"/>
                <w:szCs w:val="21"/>
              </w:rPr>
              <w:t>3.3V，5V；</w:t>
            </w:r>
          </w:p>
          <w:p>
            <w:pPr>
              <w:pStyle w:val="4"/>
              <w:kinsoku w:val="0"/>
              <w:overflowPunct w:val="0"/>
              <w:spacing w:line="400" w:lineRule="exact"/>
              <w:jc w:val="both"/>
              <w:rPr>
                <w:spacing w:val="4"/>
                <w:sz w:val="21"/>
                <w:szCs w:val="21"/>
              </w:rPr>
            </w:pPr>
            <w:r>
              <w:rPr>
                <w:rFonts w:hint="eastAsia"/>
                <w:spacing w:val="4"/>
                <w:sz w:val="21"/>
                <w:szCs w:val="21"/>
              </w:rPr>
              <w:t>无线工作频段：</w:t>
            </w:r>
            <w:r>
              <w:rPr>
                <w:spacing w:val="4"/>
                <w:sz w:val="21"/>
                <w:szCs w:val="21"/>
              </w:rPr>
              <w:t>401-510MHz；</w:t>
            </w:r>
          </w:p>
          <w:p>
            <w:pPr>
              <w:pStyle w:val="4"/>
              <w:kinsoku w:val="0"/>
              <w:overflowPunct w:val="0"/>
              <w:spacing w:line="400" w:lineRule="exact"/>
              <w:jc w:val="both"/>
              <w:rPr>
                <w:spacing w:val="4"/>
                <w:sz w:val="21"/>
                <w:szCs w:val="21"/>
              </w:rPr>
            </w:pPr>
            <w:r>
              <w:rPr>
                <w:rFonts w:hint="eastAsia"/>
                <w:spacing w:val="4"/>
                <w:sz w:val="21"/>
                <w:szCs w:val="21"/>
              </w:rPr>
              <w:t>无线发射功率：</w:t>
            </w:r>
            <w:r>
              <w:rPr>
                <w:spacing w:val="4"/>
                <w:sz w:val="21"/>
                <w:szCs w:val="21"/>
              </w:rPr>
              <w:t>Max. 19±1 dBm，接收灵敏度： -136±1dBm (@250bps)；</w:t>
            </w:r>
          </w:p>
          <w:p>
            <w:pPr>
              <w:pStyle w:val="4"/>
              <w:kinsoku w:val="0"/>
              <w:overflowPunct w:val="0"/>
              <w:spacing w:line="400" w:lineRule="exact"/>
              <w:jc w:val="both"/>
              <w:rPr>
                <w:spacing w:val="4"/>
                <w:sz w:val="21"/>
                <w:szCs w:val="21"/>
              </w:rPr>
            </w:pPr>
            <w:r>
              <w:rPr>
                <w:rFonts w:hint="eastAsia"/>
                <w:spacing w:val="4"/>
                <w:sz w:val="21"/>
                <w:szCs w:val="21"/>
              </w:rPr>
              <w:t>采用</w:t>
            </w:r>
            <w:r>
              <w:rPr>
                <w:spacing w:val="4"/>
                <w:sz w:val="21"/>
                <w:szCs w:val="21"/>
              </w:rPr>
              <w:t>LoRa 调制方式，同时兼容并支持FSK, GFSK,OOK 传统调制方式；</w:t>
            </w:r>
          </w:p>
          <w:p>
            <w:pPr>
              <w:pStyle w:val="4"/>
              <w:kinsoku w:val="0"/>
              <w:overflowPunct w:val="0"/>
              <w:spacing w:line="400" w:lineRule="exact"/>
              <w:jc w:val="both"/>
              <w:rPr>
                <w:spacing w:val="4"/>
                <w:sz w:val="21"/>
                <w:szCs w:val="21"/>
              </w:rPr>
            </w:pPr>
            <w:r>
              <w:rPr>
                <w:rFonts w:hint="eastAsia"/>
                <w:spacing w:val="4"/>
                <w:sz w:val="21"/>
                <w:szCs w:val="21"/>
              </w:rPr>
              <w:t>支持硬件跳频（</w:t>
            </w:r>
            <w:r>
              <w:rPr>
                <w:spacing w:val="4"/>
                <w:sz w:val="21"/>
                <w:szCs w:val="21"/>
              </w:rPr>
              <w:t>FHSS）；</w:t>
            </w:r>
          </w:p>
          <w:p>
            <w:pPr>
              <w:pStyle w:val="4"/>
              <w:kinsoku w:val="0"/>
              <w:overflowPunct w:val="0"/>
              <w:spacing w:line="400" w:lineRule="exact"/>
              <w:jc w:val="both"/>
              <w:rPr>
                <w:spacing w:val="4"/>
                <w:sz w:val="21"/>
                <w:szCs w:val="21"/>
              </w:rPr>
            </w:pPr>
            <w:r>
              <w:rPr>
                <w:rFonts w:hint="eastAsia"/>
                <w:spacing w:val="4"/>
                <w:sz w:val="21"/>
                <w:szCs w:val="21"/>
              </w:rPr>
              <w:t>与</w:t>
            </w:r>
            <w:r>
              <w:rPr>
                <w:spacing w:val="4"/>
                <w:sz w:val="21"/>
                <w:szCs w:val="21"/>
              </w:rPr>
              <w:t>MCU的通讯接口须为SPI；</w:t>
            </w:r>
          </w:p>
          <w:p>
            <w:pPr>
              <w:pStyle w:val="4"/>
              <w:kinsoku w:val="0"/>
              <w:overflowPunct w:val="0"/>
              <w:spacing w:line="400" w:lineRule="exact"/>
              <w:jc w:val="both"/>
              <w:rPr>
                <w:spacing w:val="4"/>
                <w:sz w:val="21"/>
                <w:szCs w:val="21"/>
              </w:rPr>
            </w:pPr>
            <w:r>
              <w:rPr>
                <w:rFonts w:hint="eastAsia"/>
                <w:spacing w:val="4"/>
                <w:sz w:val="21"/>
                <w:szCs w:val="21"/>
              </w:rPr>
              <w:t>板载嵌入式微处理器，</w:t>
            </w:r>
            <w:r>
              <w:rPr>
                <w:spacing w:val="4"/>
                <w:sz w:val="21"/>
                <w:szCs w:val="21"/>
              </w:rPr>
              <w:t>UART程序下载；</w:t>
            </w:r>
          </w:p>
          <w:p>
            <w:pPr>
              <w:pStyle w:val="4"/>
              <w:kinsoku w:val="0"/>
              <w:overflowPunct w:val="0"/>
              <w:spacing w:line="400" w:lineRule="exact"/>
              <w:jc w:val="both"/>
              <w:rPr>
                <w:spacing w:val="4"/>
                <w:sz w:val="21"/>
                <w:szCs w:val="21"/>
              </w:rPr>
            </w:pPr>
            <w:r>
              <w:rPr>
                <w:rFonts w:hint="eastAsia"/>
                <w:spacing w:val="4"/>
                <w:sz w:val="21"/>
                <w:szCs w:val="21"/>
              </w:rPr>
              <w:t>须支持</w:t>
            </w:r>
            <w:r>
              <w:rPr>
                <w:spacing w:val="4"/>
                <w:sz w:val="21"/>
                <w:szCs w:val="21"/>
              </w:rPr>
              <w:t>SPI/I2C接口的1.3英寸128×64 OLED屏；</w:t>
            </w:r>
          </w:p>
          <w:p>
            <w:pPr>
              <w:pStyle w:val="4"/>
              <w:kinsoku w:val="0"/>
              <w:overflowPunct w:val="0"/>
              <w:spacing w:line="400" w:lineRule="exact"/>
              <w:jc w:val="both"/>
              <w:rPr>
                <w:spacing w:val="4"/>
                <w:sz w:val="21"/>
                <w:szCs w:val="21"/>
              </w:rPr>
            </w:pPr>
            <w:r>
              <w:rPr>
                <w:rFonts w:hint="eastAsia"/>
                <w:spacing w:val="4"/>
                <w:sz w:val="21"/>
                <w:szCs w:val="21"/>
              </w:rPr>
              <w:t>须带扩展接口，可以连接各种实验箱传感器小模块；</w:t>
            </w:r>
          </w:p>
          <w:p>
            <w:pPr>
              <w:pStyle w:val="4"/>
              <w:kinsoku w:val="0"/>
              <w:overflowPunct w:val="0"/>
              <w:spacing w:line="400" w:lineRule="exact"/>
              <w:jc w:val="both"/>
              <w:rPr>
                <w:spacing w:val="4"/>
                <w:sz w:val="21"/>
                <w:szCs w:val="21"/>
              </w:rPr>
            </w:pPr>
            <w:r>
              <w:rPr>
                <w:rFonts w:hint="eastAsia"/>
                <w:spacing w:val="4"/>
                <w:sz w:val="21"/>
                <w:szCs w:val="21"/>
              </w:rPr>
              <w:t>支持全速</w:t>
            </w:r>
            <w:r>
              <w:rPr>
                <w:spacing w:val="4"/>
                <w:sz w:val="21"/>
                <w:szCs w:val="21"/>
              </w:rPr>
              <w:t>USB 2.0接口</w:t>
            </w:r>
          </w:p>
          <w:p>
            <w:pPr>
              <w:pStyle w:val="4"/>
              <w:kinsoku w:val="0"/>
              <w:overflowPunct w:val="0"/>
              <w:spacing w:line="400" w:lineRule="exact"/>
              <w:jc w:val="both"/>
              <w:rPr>
                <w:spacing w:val="4"/>
                <w:sz w:val="21"/>
                <w:szCs w:val="21"/>
              </w:rPr>
            </w:pPr>
            <w:r>
              <w:rPr>
                <w:spacing w:val="4"/>
                <w:sz w:val="21"/>
                <w:szCs w:val="21"/>
              </w:rPr>
              <w:t>3.LoRa终端</w:t>
            </w:r>
          </w:p>
          <w:p>
            <w:pPr>
              <w:pStyle w:val="4"/>
              <w:kinsoku w:val="0"/>
              <w:overflowPunct w:val="0"/>
              <w:spacing w:line="400" w:lineRule="exact"/>
              <w:jc w:val="both"/>
              <w:rPr>
                <w:spacing w:val="4"/>
                <w:sz w:val="21"/>
                <w:szCs w:val="21"/>
              </w:rPr>
            </w:pPr>
            <w:r>
              <w:rPr>
                <w:rFonts w:hint="eastAsia"/>
                <w:spacing w:val="4"/>
                <w:sz w:val="21"/>
                <w:szCs w:val="21"/>
              </w:rPr>
              <w:t>支持</w:t>
            </w:r>
            <w:r>
              <w:rPr>
                <w:spacing w:val="4"/>
                <w:sz w:val="21"/>
                <w:szCs w:val="21"/>
              </w:rPr>
              <w:t>WiFi、LoRa、RS-485通讯</w:t>
            </w:r>
          </w:p>
          <w:p>
            <w:pPr>
              <w:pStyle w:val="4"/>
              <w:kinsoku w:val="0"/>
              <w:overflowPunct w:val="0"/>
              <w:spacing w:line="400" w:lineRule="exact"/>
              <w:jc w:val="both"/>
              <w:rPr>
                <w:spacing w:val="4"/>
                <w:sz w:val="21"/>
                <w:szCs w:val="21"/>
              </w:rPr>
            </w:pPr>
            <w:r>
              <w:rPr>
                <w:spacing w:val="4"/>
                <w:sz w:val="21"/>
                <w:szCs w:val="21"/>
              </w:rPr>
              <w:t>LoRa工作频段：401-510MHz</w:t>
            </w:r>
          </w:p>
          <w:p>
            <w:pPr>
              <w:pStyle w:val="4"/>
              <w:kinsoku w:val="0"/>
              <w:overflowPunct w:val="0"/>
              <w:spacing w:line="400" w:lineRule="exact"/>
              <w:jc w:val="both"/>
              <w:rPr>
                <w:spacing w:val="4"/>
                <w:sz w:val="21"/>
                <w:szCs w:val="21"/>
              </w:rPr>
            </w:pPr>
            <w:r>
              <w:rPr>
                <w:spacing w:val="4"/>
                <w:sz w:val="21"/>
                <w:szCs w:val="21"/>
              </w:rPr>
              <w:t>LoRa无线发射功率：Max. 19±1 dBm</w:t>
            </w:r>
          </w:p>
          <w:p>
            <w:pPr>
              <w:pStyle w:val="4"/>
              <w:kinsoku w:val="0"/>
              <w:overflowPunct w:val="0"/>
              <w:spacing w:line="400" w:lineRule="exact"/>
              <w:jc w:val="both"/>
              <w:rPr>
                <w:spacing w:val="4"/>
                <w:sz w:val="21"/>
                <w:szCs w:val="21"/>
              </w:rPr>
            </w:pPr>
            <w:r>
              <w:rPr>
                <w:spacing w:val="4"/>
                <w:sz w:val="21"/>
                <w:szCs w:val="21"/>
              </w:rPr>
              <w:t>LoRa接收灵敏度：-136±1dBm (@250bps)</w:t>
            </w:r>
          </w:p>
          <w:p>
            <w:pPr>
              <w:pStyle w:val="4"/>
              <w:kinsoku w:val="0"/>
              <w:overflowPunct w:val="0"/>
              <w:spacing w:line="400" w:lineRule="exact"/>
              <w:jc w:val="both"/>
              <w:rPr>
                <w:spacing w:val="4"/>
                <w:sz w:val="21"/>
                <w:szCs w:val="21"/>
              </w:rPr>
            </w:pPr>
            <w:r>
              <w:rPr>
                <w:rFonts w:hint="eastAsia"/>
                <w:spacing w:val="4"/>
                <w:sz w:val="21"/>
                <w:szCs w:val="21"/>
              </w:rPr>
              <w:t>支持硬件跳频（</w:t>
            </w:r>
            <w:r>
              <w:rPr>
                <w:spacing w:val="4"/>
                <w:sz w:val="21"/>
                <w:szCs w:val="21"/>
              </w:rPr>
              <w:t>FHSS）</w:t>
            </w:r>
          </w:p>
          <w:p>
            <w:pPr>
              <w:pStyle w:val="4"/>
              <w:kinsoku w:val="0"/>
              <w:overflowPunct w:val="0"/>
              <w:spacing w:line="400" w:lineRule="exact"/>
              <w:jc w:val="both"/>
              <w:rPr>
                <w:spacing w:val="4"/>
                <w:sz w:val="21"/>
                <w:szCs w:val="21"/>
              </w:rPr>
            </w:pPr>
            <w:r>
              <w:rPr>
                <w:spacing w:val="4"/>
                <w:sz w:val="21"/>
                <w:szCs w:val="21"/>
              </w:rPr>
              <w:t>WiFi兼容IEEE 802.11 b/g/n协议，支持WPA/WPA2安全模式；支持</w:t>
            </w:r>
          </w:p>
          <w:p>
            <w:pPr>
              <w:pStyle w:val="4"/>
              <w:kinsoku w:val="0"/>
              <w:overflowPunct w:val="0"/>
              <w:spacing w:line="400" w:lineRule="exact"/>
              <w:jc w:val="both"/>
              <w:rPr>
                <w:spacing w:val="4"/>
                <w:sz w:val="21"/>
                <w:szCs w:val="21"/>
              </w:rPr>
            </w:pPr>
            <w:r>
              <w:rPr>
                <w:spacing w:val="4"/>
                <w:sz w:val="21"/>
                <w:szCs w:val="21"/>
              </w:rPr>
              <w:t>Station/SoftAP/SoftAP+Station无线网络模式；</w:t>
            </w:r>
          </w:p>
          <w:p>
            <w:pPr>
              <w:pStyle w:val="4"/>
              <w:kinsoku w:val="0"/>
              <w:overflowPunct w:val="0"/>
              <w:spacing w:line="400" w:lineRule="exact"/>
              <w:jc w:val="both"/>
              <w:rPr>
                <w:spacing w:val="4"/>
                <w:sz w:val="21"/>
                <w:szCs w:val="21"/>
              </w:rPr>
            </w:pPr>
            <w:r>
              <w:rPr>
                <w:rFonts w:hint="eastAsia"/>
                <w:spacing w:val="4"/>
                <w:sz w:val="21"/>
                <w:szCs w:val="21"/>
              </w:rPr>
              <w:t>具备</w:t>
            </w:r>
            <w:r>
              <w:rPr>
                <w:spacing w:val="4"/>
                <w:sz w:val="21"/>
                <w:szCs w:val="21"/>
              </w:rPr>
              <w:t>12-bit电流源输出，输出电流范围可编程设置为4-20 mA、0-20 mA或者0-24 mA，输出</w:t>
            </w:r>
            <w:r>
              <w:rPr>
                <w:rFonts w:hint="eastAsia"/>
                <w:spacing w:val="4"/>
                <w:sz w:val="21"/>
                <w:szCs w:val="21"/>
              </w:rPr>
              <w:t>温漂±</w:t>
            </w:r>
            <w:r>
              <w:rPr>
                <w:spacing w:val="4"/>
                <w:sz w:val="21"/>
                <w:szCs w:val="21"/>
              </w:rPr>
              <w:t>3ppm/℃</w:t>
            </w:r>
          </w:p>
          <w:p>
            <w:pPr>
              <w:pStyle w:val="4"/>
              <w:kinsoku w:val="0"/>
              <w:overflowPunct w:val="0"/>
              <w:spacing w:line="400" w:lineRule="exact"/>
              <w:jc w:val="both"/>
              <w:rPr>
                <w:spacing w:val="4"/>
                <w:sz w:val="21"/>
                <w:szCs w:val="21"/>
              </w:rPr>
            </w:pPr>
            <w:r>
              <w:rPr>
                <w:rFonts w:hint="eastAsia"/>
                <w:spacing w:val="4"/>
                <w:sz w:val="21"/>
                <w:szCs w:val="21"/>
              </w:rPr>
              <w:t>具备</w:t>
            </w:r>
            <w:r>
              <w:rPr>
                <w:spacing w:val="4"/>
                <w:sz w:val="21"/>
                <w:szCs w:val="21"/>
              </w:rPr>
              <w:t>12-bit DAC输出，采样率最高3.2Msps，输出电压不大于3.3V</w:t>
            </w:r>
          </w:p>
          <w:p>
            <w:pPr>
              <w:pStyle w:val="4"/>
              <w:kinsoku w:val="0"/>
              <w:overflowPunct w:val="0"/>
              <w:spacing w:line="400" w:lineRule="exact"/>
              <w:jc w:val="both"/>
              <w:rPr>
                <w:spacing w:val="4"/>
                <w:sz w:val="21"/>
                <w:szCs w:val="21"/>
              </w:rPr>
            </w:pPr>
            <w:r>
              <w:rPr>
                <w:rFonts w:hint="eastAsia"/>
                <w:spacing w:val="4"/>
                <w:sz w:val="21"/>
                <w:szCs w:val="21"/>
              </w:rPr>
              <w:t>具备脉冲输出（</w:t>
            </w:r>
            <w:r>
              <w:rPr>
                <w:spacing w:val="4"/>
                <w:sz w:val="21"/>
                <w:szCs w:val="21"/>
              </w:rPr>
              <w:t>3.3V逻辑电平，非隔离）</w:t>
            </w:r>
          </w:p>
          <w:p>
            <w:pPr>
              <w:pStyle w:val="4"/>
              <w:kinsoku w:val="0"/>
              <w:overflowPunct w:val="0"/>
              <w:spacing w:line="400" w:lineRule="exact"/>
              <w:jc w:val="both"/>
              <w:rPr>
                <w:spacing w:val="4"/>
                <w:sz w:val="21"/>
                <w:szCs w:val="21"/>
              </w:rPr>
            </w:pPr>
            <w:r>
              <w:rPr>
                <w:spacing w:val="4"/>
                <w:sz w:val="21"/>
                <w:szCs w:val="21"/>
              </w:rPr>
              <w:t>4.LoRa网关</w:t>
            </w:r>
          </w:p>
          <w:p>
            <w:pPr>
              <w:pStyle w:val="4"/>
              <w:kinsoku w:val="0"/>
              <w:overflowPunct w:val="0"/>
              <w:spacing w:line="400" w:lineRule="exact"/>
              <w:jc w:val="both"/>
              <w:rPr>
                <w:spacing w:val="4"/>
                <w:sz w:val="21"/>
                <w:szCs w:val="21"/>
              </w:rPr>
            </w:pPr>
            <w:r>
              <w:rPr>
                <w:rFonts w:hint="eastAsia"/>
                <w:spacing w:val="4"/>
                <w:sz w:val="21"/>
                <w:szCs w:val="21"/>
              </w:rPr>
              <w:t>支持</w:t>
            </w:r>
            <w:r>
              <w:rPr>
                <w:spacing w:val="4"/>
                <w:sz w:val="21"/>
                <w:szCs w:val="21"/>
              </w:rPr>
              <w:t>LoRa、WiFi、以太网通讯；</w:t>
            </w:r>
          </w:p>
          <w:p>
            <w:pPr>
              <w:pStyle w:val="4"/>
              <w:kinsoku w:val="0"/>
              <w:overflowPunct w:val="0"/>
              <w:spacing w:line="400" w:lineRule="exact"/>
              <w:jc w:val="both"/>
              <w:rPr>
                <w:spacing w:val="4"/>
                <w:sz w:val="21"/>
                <w:szCs w:val="21"/>
              </w:rPr>
            </w:pPr>
            <w:r>
              <w:rPr>
                <w:spacing w:val="4"/>
                <w:sz w:val="21"/>
                <w:szCs w:val="21"/>
              </w:rPr>
              <w:t>WiFi兼容IEEE 802.11 b/g/n协议，内置完整TCP/IP协议栈；</w:t>
            </w:r>
          </w:p>
          <w:p>
            <w:pPr>
              <w:pStyle w:val="4"/>
              <w:kinsoku w:val="0"/>
              <w:overflowPunct w:val="0"/>
              <w:spacing w:line="400" w:lineRule="exact"/>
              <w:jc w:val="both"/>
              <w:rPr>
                <w:spacing w:val="4"/>
                <w:sz w:val="21"/>
                <w:szCs w:val="21"/>
              </w:rPr>
            </w:pPr>
            <w:r>
              <w:rPr>
                <w:spacing w:val="4"/>
                <w:sz w:val="21"/>
                <w:szCs w:val="21"/>
              </w:rPr>
              <w:t>LoRa工作频段支持410-441MHz</w:t>
            </w:r>
          </w:p>
          <w:p>
            <w:pPr>
              <w:pStyle w:val="4"/>
              <w:kinsoku w:val="0"/>
              <w:overflowPunct w:val="0"/>
              <w:spacing w:line="400" w:lineRule="exact"/>
              <w:jc w:val="both"/>
              <w:rPr>
                <w:spacing w:val="4"/>
                <w:sz w:val="21"/>
                <w:szCs w:val="21"/>
              </w:rPr>
            </w:pPr>
            <w:r>
              <w:rPr>
                <w:rFonts w:hint="eastAsia"/>
                <w:spacing w:val="4"/>
                <w:sz w:val="21"/>
                <w:szCs w:val="21"/>
              </w:rPr>
              <w:t>支持多种调制模式，</w:t>
            </w:r>
          </w:p>
          <w:p>
            <w:pPr>
              <w:pStyle w:val="4"/>
              <w:kinsoku w:val="0"/>
              <w:overflowPunct w:val="0"/>
              <w:spacing w:line="400" w:lineRule="exact"/>
              <w:jc w:val="both"/>
              <w:rPr>
                <w:spacing w:val="4"/>
                <w:sz w:val="21"/>
                <w:szCs w:val="21"/>
              </w:rPr>
            </w:pPr>
            <w:r>
              <w:rPr>
                <w:spacing w:val="4"/>
                <w:sz w:val="21"/>
                <w:szCs w:val="21"/>
              </w:rPr>
              <w:t>LoRa/FSK/GFSK/MSK/GMSK/OOK；</w:t>
            </w:r>
          </w:p>
          <w:p>
            <w:pPr>
              <w:pStyle w:val="4"/>
              <w:kinsoku w:val="0"/>
              <w:overflowPunct w:val="0"/>
              <w:spacing w:line="400" w:lineRule="exact"/>
              <w:jc w:val="both"/>
              <w:rPr>
                <w:spacing w:val="4"/>
                <w:sz w:val="21"/>
                <w:szCs w:val="21"/>
              </w:rPr>
            </w:pPr>
            <w:r>
              <w:rPr>
                <w:rFonts w:hint="eastAsia"/>
                <w:spacing w:val="4"/>
                <w:sz w:val="21"/>
                <w:szCs w:val="21"/>
              </w:rPr>
              <w:t>以太网集成硬件</w:t>
            </w:r>
            <w:r>
              <w:rPr>
                <w:spacing w:val="4"/>
                <w:sz w:val="21"/>
                <w:szCs w:val="21"/>
              </w:rPr>
              <w:t>TCP/IP协议栈，支持TCP、 IPv4、ARP、ICMP、IGMP以及PPPoE协议；</w:t>
            </w:r>
          </w:p>
          <w:p>
            <w:pPr>
              <w:pStyle w:val="4"/>
              <w:kinsoku w:val="0"/>
              <w:overflowPunct w:val="0"/>
              <w:spacing w:line="400" w:lineRule="exact"/>
              <w:jc w:val="both"/>
              <w:rPr>
                <w:spacing w:val="4"/>
                <w:sz w:val="21"/>
                <w:szCs w:val="21"/>
              </w:rPr>
            </w:pPr>
            <w:r>
              <w:rPr>
                <w:rFonts w:hint="eastAsia"/>
                <w:spacing w:val="4"/>
                <w:sz w:val="21"/>
                <w:szCs w:val="21"/>
              </w:rPr>
              <w:t>内嵌</w:t>
            </w:r>
            <w:r>
              <w:rPr>
                <w:spacing w:val="4"/>
                <w:sz w:val="21"/>
                <w:szCs w:val="21"/>
              </w:rPr>
              <w:t>10/100Mbps以太网数据链路层和物理层；支持自动协商（全双工/半双工模式）；</w:t>
            </w:r>
          </w:p>
          <w:p>
            <w:pPr>
              <w:pStyle w:val="4"/>
              <w:kinsoku w:val="0"/>
              <w:overflowPunct w:val="0"/>
              <w:spacing w:line="400" w:lineRule="exact"/>
              <w:jc w:val="both"/>
              <w:rPr>
                <w:spacing w:val="4"/>
                <w:sz w:val="21"/>
                <w:szCs w:val="21"/>
              </w:rPr>
            </w:pPr>
            <w:r>
              <w:rPr>
                <w:rFonts w:hint="eastAsia"/>
                <w:spacing w:val="4"/>
                <w:sz w:val="21"/>
                <w:szCs w:val="21"/>
              </w:rPr>
              <w:t>支持</w:t>
            </w:r>
            <w:r>
              <w:rPr>
                <w:spacing w:val="4"/>
                <w:sz w:val="21"/>
                <w:szCs w:val="21"/>
              </w:rPr>
              <w:t>8个独立的端口（Socket）同时连接。</w:t>
            </w:r>
          </w:p>
          <w:p>
            <w:pPr>
              <w:pStyle w:val="4"/>
              <w:kinsoku w:val="0"/>
              <w:overflowPunct w:val="0"/>
              <w:spacing w:line="400" w:lineRule="exact"/>
              <w:jc w:val="both"/>
              <w:rPr>
                <w:spacing w:val="4"/>
                <w:sz w:val="21"/>
                <w:szCs w:val="21"/>
              </w:rPr>
            </w:pPr>
            <w:r>
              <w:rPr>
                <w:spacing w:val="4"/>
                <w:sz w:val="21"/>
                <w:szCs w:val="21"/>
              </w:rPr>
              <w:t>5.串口服务器</w:t>
            </w:r>
          </w:p>
          <w:p>
            <w:pPr>
              <w:pStyle w:val="4"/>
              <w:kinsoku w:val="0"/>
              <w:overflowPunct w:val="0"/>
              <w:spacing w:line="400" w:lineRule="exact"/>
              <w:jc w:val="both"/>
              <w:rPr>
                <w:spacing w:val="4"/>
                <w:sz w:val="21"/>
                <w:szCs w:val="21"/>
              </w:rPr>
            </w:pPr>
            <w:r>
              <w:rPr>
                <w:rFonts w:hint="eastAsia"/>
                <w:spacing w:val="4"/>
                <w:sz w:val="21"/>
                <w:szCs w:val="21"/>
              </w:rPr>
              <w:t>具备</w:t>
            </w:r>
            <w:r>
              <w:rPr>
                <w:spacing w:val="4"/>
                <w:sz w:val="21"/>
                <w:szCs w:val="21"/>
              </w:rPr>
              <w:t>10/100Mbps自适应以太网口，内置1.5KV电磁保护；</w:t>
            </w:r>
          </w:p>
          <w:p>
            <w:pPr>
              <w:pStyle w:val="4"/>
              <w:kinsoku w:val="0"/>
              <w:overflowPunct w:val="0"/>
              <w:spacing w:line="400" w:lineRule="exact"/>
              <w:jc w:val="both"/>
              <w:rPr>
                <w:spacing w:val="4"/>
                <w:sz w:val="21"/>
                <w:szCs w:val="21"/>
              </w:rPr>
            </w:pPr>
            <w:r>
              <w:rPr>
                <w:rFonts w:hint="eastAsia"/>
                <w:spacing w:val="4"/>
                <w:sz w:val="21"/>
                <w:szCs w:val="21"/>
              </w:rPr>
              <w:t>支持多个串口服务器级联；</w:t>
            </w:r>
          </w:p>
          <w:p>
            <w:pPr>
              <w:pStyle w:val="4"/>
              <w:kinsoku w:val="0"/>
              <w:overflowPunct w:val="0"/>
              <w:spacing w:line="400" w:lineRule="exact"/>
              <w:jc w:val="both"/>
              <w:rPr>
                <w:spacing w:val="4"/>
                <w:sz w:val="21"/>
                <w:szCs w:val="21"/>
              </w:rPr>
            </w:pPr>
            <w:r>
              <w:rPr>
                <w:rFonts w:hint="eastAsia"/>
                <w:spacing w:val="4"/>
                <w:sz w:val="21"/>
                <w:szCs w:val="21"/>
              </w:rPr>
              <w:t>至少具备</w:t>
            </w:r>
            <w:r>
              <w:rPr>
                <w:spacing w:val="4"/>
                <w:sz w:val="21"/>
                <w:szCs w:val="21"/>
              </w:rPr>
              <w:t>4个RS-232接口，2个RS-485接口，支持15KVESD保护；</w:t>
            </w:r>
          </w:p>
          <w:p>
            <w:pPr>
              <w:pStyle w:val="4"/>
              <w:kinsoku w:val="0"/>
              <w:overflowPunct w:val="0"/>
              <w:spacing w:line="400" w:lineRule="exact"/>
              <w:jc w:val="both"/>
              <w:rPr>
                <w:spacing w:val="4"/>
                <w:sz w:val="21"/>
                <w:szCs w:val="21"/>
              </w:rPr>
            </w:pPr>
            <w:r>
              <w:rPr>
                <w:rFonts w:hint="eastAsia"/>
                <w:spacing w:val="4"/>
                <w:sz w:val="21"/>
                <w:szCs w:val="21"/>
              </w:rPr>
              <w:t>支持协议：</w:t>
            </w:r>
            <w:r>
              <w:rPr>
                <w:spacing w:val="4"/>
                <w:sz w:val="21"/>
                <w:szCs w:val="21"/>
              </w:rPr>
              <w:t>ICMP，IP，TCP，UDP，DNS，DHCP， Telnet，HTTP；</w:t>
            </w:r>
          </w:p>
          <w:p>
            <w:pPr>
              <w:pStyle w:val="4"/>
              <w:kinsoku w:val="0"/>
              <w:overflowPunct w:val="0"/>
              <w:spacing w:line="400" w:lineRule="exact"/>
              <w:jc w:val="both"/>
              <w:rPr>
                <w:spacing w:val="4"/>
                <w:sz w:val="21"/>
                <w:szCs w:val="21"/>
              </w:rPr>
            </w:pPr>
            <w:r>
              <w:rPr>
                <w:rFonts w:hint="eastAsia"/>
                <w:spacing w:val="4"/>
                <w:sz w:val="21"/>
                <w:szCs w:val="21"/>
              </w:rPr>
              <w:t>支持通过</w:t>
            </w:r>
            <w:r>
              <w:rPr>
                <w:spacing w:val="4"/>
                <w:sz w:val="21"/>
                <w:szCs w:val="21"/>
              </w:rPr>
              <w:t>Web网络浏览器、Telnet、Console控制台进行配置。</w:t>
            </w:r>
          </w:p>
          <w:p>
            <w:pPr>
              <w:pStyle w:val="4"/>
              <w:kinsoku w:val="0"/>
              <w:overflowPunct w:val="0"/>
              <w:spacing w:line="400" w:lineRule="exact"/>
              <w:jc w:val="both"/>
              <w:rPr>
                <w:spacing w:val="4"/>
                <w:sz w:val="21"/>
                <w:szCs w:val="21"/>
              </w:rPr>
            </w:pPr>
            <w:r>
              <w:rPr>
                <w:spacing w:val="4"/>
                <w:sz w:val="21"/>
                <w:szCs w:val="21"/>
              </w:rPr>
              <w:t>6.Zigbee节点</w:t>
            </w:r>
          </w:p>
          <w:p>
            <w:pPr>
              <w:pStyle w:val="4"/>
              <w:kinsoku w:val="0"/>
              <w:overflowPunct w:val="0"/>
              <w:spacing w:line="400" w:lineRule="exact"/>
              <w:jc w:val="both"/>
              <w:rPr>
                <w:spacing w:val="4"/>
                <w:sz w:val="21"/>
                <w:szCs w:val="21"/>
              </w:rPr>
            </w:pPr>
            <w:r>
              <w:rPr>
                <w:rFonts w:hint="eastAsia"/>
                <w:spacing w:val="4"/>
                <w:sz w:val="21"/>
                <w:szCs w:val="21"/>
              </w:rPr>
              <w:t>利用</w:t>
            </w:r>
            <w:r>
              <w:rPr>
                <w:spacing w:val="4"/>
                <w:sz w:val="21"/>
                <w:szCs w:val="21"/>
              </w:rPr>
              <w:t>ZigBee网络为用户提供无线数据传输功能。适用于2.4GHz、IEEE 802.15.4、ZigBee</w:t>
            </w:r>
          </w:p>
          <w:p>
            <w:pPr>
              <w:pStyle w:val="4"/>
              <w:kinsoku w:val="0"/>
              <w:overflowPunct w:val="0"/>
              <w:spacing w:line="400" w:lineRule="exact"/>
              <w:jc w:val="both"/>
              <w:rPr>
                <w:spacing w:val="4"/>
                <w:sz w:val="21"/>
                <w:szCs w:val="21"/>
              </w:rPr>
            </w:pPr>
            <w:r>
              <w:rPr>
                <w:rFonts w:hint="eastAsia"/>
                <w:spacing w:val="4"/>
                <w:sz w:val="21"/>
                <w:szCs w:val="21"/>
              </w:rPr>
              <w:t>和</w:t>
            </w:r>
            <w:r>
              <w:rPr>
                <w:spacing w:val="4"/>
                <w:sz w:val="21"/>
                <w:szCs w:val="21"/>
              </w:rPr>
              <w:t>RF4CE应用。提供标准RS485接口，可通过USB线连接PC机进行数据通讯。可外接电源供电，或用自带电池供电。</w:t>
            </w:r>
          </w:p>
          <w:p>
            <w:pPr>
              <w:pStyle w:val="4"/>
              <w:kinsoku w:val="0"/>
              <w:overflowPunct w:val="0"/>
              <w:spacing w:line="400" w:lineRule="exact"/>
              <w:jc w:val="both"/>
              <w:rPr>
                <w:spacing w:val="4"/>
                <w:sz w:val="21"/>
                <w:szCs w:val="21"/>
              </w:rPr>
            </w:pPr>
            <w:r>
              <w:rPr>
                <w:rFonts w:hint="eastAsia"/>
                <w:spacing w:val="4"/>
                <w:sz w:val="21"/>
                <w:szCs w:val="21"/>
              </w:rPr>
              <w:t>电池容量不低于：</w:t>
            </w:r>
            <w:r>
              <w:rPr>
                <w:spacing w:val="4"/>
                <w:sz w:val="21"/>
                <w:szCs w:val="21"/>
              </w:rPr>
              <w:t>1000mAh</w:t>
            </w:r>
          </w:p>
          <w:p>
            <w:pPr>
              <w:pStyle w:val="4"/>
              <w:kinsoku w:val="0"/>
              <w:overflowPunct w:val="0"/>
              <w:spacing w:line="400" w:lineRule="exact"/>
              <w:jc w:val="both"/>
              <w:rPr>
                <w:spacing w:val="4"/>
                <w:sz w:val="21"/>
                <w:szCs w:val="21"/>
              </w:rPr>
            </w:pPr>
            <w:r>
              <w:rPr>
                <w:rFonts w:hint="eastAsia"/>
                <w:spacing w:val="4"/>
                <w:sz w:val="21"/>
                <w:szCs w:val="21"/>
              </w:rPr>
              <w:t>无线频率：</w:t>
            </w:r>
            <w:r>
              <w:rPr>
                <w:spacing w:val="4"/>
                <w:sz w:val="21"/>
                <w:szCs w:val="21"/>
              </w:rPr>
              <w:t>2.4GHz</w:t>
            </w:r>
          </w:p>
          <w:p>
            <w:pPr>
              <w:pStyle w:val="4"/>
              <w:kinsoku w:val="0"/>
              <w:overflowPunct w:val="0"/>
              <w:spacing w:line="400" w:lineRule="exact"/>
              <w:jc w:val="both"/>
              <w:rPr>
                <w:spacing w:val="4"/>
                <w:sz w:val="21"/>
                <w:szCs w:val="21"/>
              </w:rPr>
            </w:pPr>
            <w:r>
              <w:rPr>
                <w:rFonts w:hint="eastAsia"/>
                <w:spacing w:val="4"/>
                <w:sz w:val="21"/>
                <w:szCs w:val="21"/>
              </w:rPr>
              <w:t>无线协议：</w:t>
            </w:r>
            <w:r>
              <w:rPr>
                <w:spacing w:val="4"/>
                <w:sz w:val="21"/>
                <w:szCs w:val="21"/>
              </w:rPr>
              <w:t>ZigBee2007/PRO</w:t>
            </w:r>
          </w:p>
          <w:p>
            <w:pPr>
              <w:pStyle w:val="4"/>
              <w:kinsoku w:val="0"/>
              <w:overflowPunct w:val="0"/>
              <w:spacing w:line="400" w:lineRule="exact"/>
              <w:jc w:val="both"/>
              <w:rPr>
                <w:spacing w:val="4"/>
                <w:sz w:val="21"/>
                <w:szCs w:val="21"/>
              </w:rPr>
            </w:pPr>
            <w:r>
              <w:rPr>
                <w:rFonts w:hint="eastAsia"/>
                <w:spacing w:val="4"/>
                <w:sz w:val="21"/>
                <w:szCs w:val="21"/>
              </w:rPr>
              <w:t>接收灵敏度：不低于</w:t>
            </w:r>
            <w:r>
              <w:rPr>
                <w:spacing w:val="4"/>
                <w:sz w:val="21"/>
                <w:szCs w:val="21"/>
              </w:rPr>
              <w:t>-96dBm</w:t>
            </w:r>
          </w:p>
          <w:p>
            <w:pPr>
              <w:pStyle w:val="4"/>
              <w:kinsoku w:val="0"/>
              <w:overflowPunct w:val="0"/>
              <w:spacing w:line="400" w:lineRule="exact"/>
              <w:jc w:val="both"/>
              <w:rPr>
                <w:spacing w:val="4"/>
                <w:sz w:val="21"/>
                <w:szCs w:val="21"/>
              </w:rPr>
            </w:pPr>
            <w:r>
              <w:rPr>
                <w:spacing w:val="4"/>
                <w:sz w:val="21"/>
                <w:szCs w:val="21"/>
              </w:rPr>
              <w:t>7.Zigbee协调器</w:t>
            </w:r>
          </w:p>
          <w:p>
            <w:pPr>
              <w:pStyle w:val="4"/>
              <w:kinsoku w:val="0"/>
              <w:overflowPunct w:val="0"/>
              <w:spacing w:line="400" w:lineRule="exact"/>
              <w:jc w:val="both"/>
              <w:rPr>
                <w:spacing w:val="4"/>
                <w:sz w:val="21"/>
                <w:szCs w:val="21"/>
              </w:rPr>
            </w:pPr>
            <w:r>
              <w:rPr>
                <w:rFonts w:hint="eastAsia"/>
                <w:spacing w:val="4"/>
                <w:sz w:val="21"/>
                <w:szCs w:val="21"/>
              </w:rPr>
              <w:t>利用</w:t>
            </w:r>
            <w:r>
              <w:rPr>
                <w:spacing w:val="4"/>
                <w:sz w:val="21"/>
                <w:szCs w:val="21"/>
              </w:rPr>
              <w:t>ZigBee网络为用户提供无线数据传输功能。适用于2.4GHz、IEEE 802.15.4、ZigBee和RF4CE应用。提供标准RS485接口，可通过USB线连接PC机进行数据通讯。</w:t>
            </w:r>
          </w:p>
          <w:p>
            <w:pPr>
              <w:pStyle w:val="4"/>
              <w:kinsoku w:val="0"/>
              <w:overflowPunct w:val="0"/>
              <w:spacing w:line="400" w:lineRule="exact"/>
              <w:jc w:val="both"/>
              <w:rPr>
                <w:spacing w:val="4"/>
                <w:sz w:val="21"/>
                <w:szCs w:val="21"/>
              </w:rPr>
            </w:pPr>
            <w:r>
              <w:rPr>
                <w:rFonts w:hint="eastAsia"/>
                <w:spacing w:val="4"/>
                <w:sz w:val="21"/>
                <w:szCs w:val="21"/>
              </w:rPr>
              <w:t>可外接电源供电</w:t>
            </w:r>
          </w:p>
          <w:p>
            <w:pPr>
              <w:pStyle w:val="4"/>
              <w:kinsoku w:val="0"/>
              <w:overflowPunct w:val="0"/>
              <w:spacing w:line="400" w:lineRule="exact"/>
              <w:jc w:val="both"/>
              <w:rPr>
                <w:spacing w:val="4"/>
                <w:sz w:val="21"/>
                <w:szCs w:val="21"/>
              </w:rPr>
            </w:pPr>
            <w:r>
              <w:rPr>
                <w:rFonts w:hint="eastAsia"/>
                <w:spacing w:val="4"/>
                <w:sz w:val="21"/>
                <w:szCs w:val="21"/>
              </w:rPr>
              <w:t>无线频率：</w:t>
            </w:r>
            <w:r>
              <w:rPr>
                <w:spacing w:val="4"/>
                <w:sz w:val="21"/>
                <w:szCs w:val="21"/>
              </w:rPr>
              <w:t>2.4GHz</w:t>
            </w:r>
          </w:p>
          <w:p>
            <w:pPr>
              <w:pStyle w:val="4"/>
              <w:kinsoku w:val="0"/>
              <w:overflowPunct w:val="0"/>
              <w:spacing w:line="400" w:lineRule="exact"/>
              <w:jc w:val="both"/>
              <w:rPr>
                <w:spacing w:val="4"/>
                <w:sz w:val="21"/>
                <w:szCs w:val="21"/>
              </w:rPr>
            </w:pPr>
            <w:r>
              <w:rPr>
                <w:rFonts w:hint="eastAsia"/>
                <w:spacing w:val="4"/>
                <w:sz w:val="21"/>
                <w:szCs w:val="21"/>
              </w:rPr>
              <w:t>无线协议：</w:t>
            </w:r>
            <w:r>
              <w:rPr>
                <w:spacing w:val="4"/>
                <w:sz w:val="21"/>
                <w:szCs w:val="21"/>
              </w:rPr>
              <w:t>ZigBee2007/PRO</w:t>
            </w:r>
          </w:p>
          <w:p>
            <w:pPr>
              <w:pStyle w:val="4"/>
              <w:kinsoku w:val="0"/>
              <w:overflowPunct w:val="0"/>
              <w:spacing w:line="400" w:lineRule="exact"/>
              <w:jc w:val="both"/>
              <w:rPr>
                <w:spacing w:val="4"/>
                <w:sz w:val="21"/>
                <w:szCs w:val="21"/>
              </w:rPr>
            </w:pPr>
            <w:r>
              <w:rPr>
                <w:rFonts w:hint="eastAsia"/>
                <w:spacing w:val="4"/>
                <w:sz w:val="21"/>
                <w:szCs w:val="21"/>
              </w:rPr>
              <w:t>接收灵敏度：不低于</w:t>
            </w:r>
            <w:r>
              <w:rPr>
                <w:spacing w:val="4"/>
                <w:sz w:val="21"/>
                <w:szCs w:val="21"/>
              </w:rPr>
              <w:t>-96dBm</w:t>
            </w:r>
          </w:p>
          <w:p>
            <w:pPr>
              <w:pStyle w:val="4"/>
              <w:kinsoku w:val="0"/>
              <w:overflowPunct w:val="0"/>
              <w:spacing w:line="400" w:lineRule="exact"/>
              <w:jc w:val="both"/>
              <w:rPr>
                <w:spacing w:val="4"/>
                <w:sz w:val="21"/>
                <w:szCs w:val="21"/>
              </w:rPr>
            </w:pPr>
            <w:r>
              <w:rPr>
                <w:spacing w:val="4"/>
                <w:sz w:val="21"/>
                <w:szCs w:val="21"/>
              </w:rPr>
              <w:t>8.RS485设备-模拟量</w:t>
            </w:r>
          </w:p>
          <w:p>
            <w:pPr>
              <w:pStyle w:val="4"/>
              <w:kinsoku w:val="0"/>
              <w:overflowPunct w:val="0"/>
              <w:spacing w:line="400" w:lineRule="exact"/>
              <w:jc w:val="both"/>
              <w:rPr>
                <w:spacing w:val="4"/>
                <w:sz w:val="21"/>
                <w:szCs w:val="21"/>
              </w:rPr>
            </w:pPr>
            <w:r>
              <w:rPr>
                <w:spacing w:val="4"/>
                <w:sz w:val="21"/>
                <w:szCs w:val="21"/>
              </w:rPr>
              <w:t>16位A/D 8通道模拟量输入设备，支持采集电压、电流等模拟量输入信号。</w:t>
            </w:r>
          </w:p>
          <w:p>
            <w:pPr>
              <w:pStyle w:val="4"/>
              <w:kinsoku w:val="0"/>
              <w:overflowPunct w:val="0"/>
              <w:spacing w:line="400" w:lineRule="exact"/>
              <w:jc w:val="both"/>
              <w:rPr>
                <w:spacing w:val="4"/>
                <w:sz w:val="21"/>
                <w:szCs w:val="21"/>
              </w:rPr>
            </w:pPr>
            <w:r>
              <w:rPr>
                <w:rFonts w:hint="eastAsia"/>
                <w:spacing w:val="4"/>
                <w:sz w:val="21"/>
                <w:szCs w:val="21"/>
              </w:rPr>
              <w:t>所有通道支持可编程的输入范围</w:t>
            </w:r>
          </w:p>
          <w:p>
            <w:pPr>
              <w:pStyle w:val="4"/>
              <w:kinsoku w:val="0"/>
              <w:overflowPunct w:val="0"/>
              <w:spacing w:line="400" w:lineRule="exact"/>
              <w:jc w:val="both"/>
              <w:rPr>
                <w:spacing w:val="4"/>
                <w:sz w:val="21"/>
                <w:szCs w:val="21"/>
              </w:rPr>
            </w:pPr>
            <w:r>
              <w:rPr>
                <w:rFonts w:hint="eastAsia"/>
                <w:spacing w:val="4"/>
                <w:sz w:val="21"/>
                <w:szCs w:val="21"/>
              </w:rPr>
              <w:t>模拟量输入通道和模块之间具备</w:t>
            </w:r>
            <w:r>
              <w:rPr>
                <w:spacing w:val="4"/>
                <w:sz w:val="21"/>
                <w:szCs w:val="21"/>
              </w:rPr>
              <w:t>3000V的电压隔离。</w:t>
            </w:r>
          </w:p>
          <w:p>
            <w:pPr>
              <w:pStyle w:val="4"/>
              <w:kinsoku w:val="0"/>
              <w:overflowPunct w:val="0"/>
              <w:spacing w:line="400" w:lineRule="exact"/>
              <w:jc w:val="both"/>
              <w:rPr>
                <w:spacing w:val="4"/>
                <w:sz w:val="21"/>
                <w:szCs w:val="21"/>
              </w:rPr>
            </w:pPr>
            <w:r>
              <w:rPr>
                <w:rFonts w:hint="eastAsia"/>
                <w:spacing w:val="4"/>
                <w:sz w:val="21"/>
                <w:szCs w:val="21"/>
              </w:rPr>
              <w:t>通道数大于</w:t>
            </w:r>
            <w:r>
              <w:rPr>
                <w:spacing w:val="4"/>
                <w:sz w:val="21"/>
                <w:szCs w:val="21"/>
              </w:rPr>
              <w:t>8</w:t>
            </w:r>
          </w:p>
          <w:p>
            <w:pPr>
              <w:pStyle w:val="4"/>
              <w:kinsoku w:val="0"/>
              <w:overflowPunct w:val="0"/>
              <w:spacing w:line="400" w:lineRule="exact"/>
              <w:jc w:val="both"/>
              <w:rPr>
                <w:spacing w:val="4"/>
                <w:sz w:val="21"/>
                <w:szCs w:val="21"/>
              </w:rPr>
            </w:pPr>
            <w:r>
              <w:rPr>
                <w:rFonts w:hint="eastAsia"/>
                <w:spacing w:val="4"/>
                <w:sz w:val="21"/>
                <w:szCs w:val="21"/>
              </w:rPr>
              <w:t>输入类型支持：</w:t>
            </w:r>
            <w:r>
              <w:rPr>
                <w:spacing w:val="4"/>
                <w:sz w:val="21"/>
                <w:szCs w:val="21"/>
              </w:rPr>
              <w:t>mV，V，mA</w:t>
            </w:r>
          </w:p>
          <w:p>
            <w:pPr>
              <w:pStyle w:val="4"/>
              <w:kinsoku w:val="0"/>
              <w:overflowPunct w:val="0"/>
              <w:spacing w:line="400" w:lineRule="exact"/>
              <w:jc w:val="both"/>
              <w:rPr>
                <w:spacing w:val="4"/>
                <w:sz w:val="21"/>
                <w:szCs w:val="21"/>
              </w:rPr>
            </w:pPr>
            <w:r>
              <w:rPr>
                <w:rFonts w:hint="eastAsia"/>
                <w:spacing w:val="4"/>
                <w:sz w:val="21"/>
                <w:szCs w:val="21"/>
              </w:rPr>
              <w:t>输入范围支持：</w:t>
            </w:r>
            <w:r>
              <w:rPr>
                <w:spacing w:val="4"/>
                <w:sz w:val="21"/>
                <w:szCs w:val="21"/>
              </w:rPr>
              <w:t>+/-150mV，+/-500mV，+/-1V，+/-5V，+/-10V，+/-20V，4~20mA</w:t>
            </w:r>
          </w:p>
          <w:p>
            <w:pPr>
              <w:pStyle w:val="4"/>
              <w:kinsoku w:val="0"/>
              <w:overflowPunct w:val="0"/>
              <w:spacing w:line="400" w:lineRule="exact"/>
              <w:jc w:val="both"/>
              <w:rPr>
                <w:spacing w:val="4"/>
                <w:sz w:val="21"/>
                <w:szCs w:val="21"/>
              </w:rPr>
            </w:pPr>
            <w:r>
              <w:rPr>
                <w:rFonts w:hint="eastAsia"/>
                <w:spacing w:val="4"/>
                <w:sz w:val="21"/>
                <w:szCs w:val="21"/>
              </w:rPr>
              <w:t>隔离电压大于</w:t>
            </w:r>
            <w:r>
              <w:rPr>
                <w:spacing w:val="4"/>
                <w:sz w:val="21"/>
                <w:szCs w:val="21"/>
              </w:rPr>
              <w:t>3000VDC</w:t>
            </w:r>
          </w:p>
          <w:p>
            <w:pPr>
              <w:pStyle w:val="4"/>
              <w:kinsoku w:val="0"/>
              <w:overflowPunct w:val="0"/>
              <w:spacing w:line="400" w:lineRule="exact"/>
              <w:jc w:val="both"/>
              <w:rPr>
                <w:spacing w:val="4"/>
                <w:sz w:val="21"/>
                <w:szCs w:val="21"/>
              </w:rPr>
            </w:pPr>
            <w:r>
              <w:rPr>
                <w:rFonts w:hint="eastAsia"/>
                <w:spacing w:val="4"/>
                <w:sz w:val="21"/>
                <w:szCs w:val="21"/>
              </w:rPr>
              <w:t>最大承受电压：</w:t>
            </w:r>
            <w:r>
              <w:rPr>
                <w:spacing w:val="4"/>
                <w:sz w:val="21"/>
                <w:szCs w:val="21"/>
              </w:rPr>
              <w:t>+/-35V</w:t>
            </w:r>
          </w:p>
          <w:p>
            <w:pPr>
              <w:pStyle w:val="4"/>
              <w:kinsoku w:val="0"/>
              <w:overflowPunct w:val="0"/>
              <w:spacing w:line="400" w:lineRule="exact"/>
              <w:jc w:val="both"/>
              <w:rPr>
                <w:spacing w:val="4"/>
                <w:sz w:val="21"/>
                <w:szCs w:val="21"/>
              </w:rPr>
            </w:pPr>
            <w:r>
              <w:rPr>
                <w:rFonts w:hint="eastAsia"/>
                <w:spacing w:val="4"/>
                <w:sz w:val="21"/>
                <w:szCs w:val="21"/>
              </w:rPr>
              <w:t>采样速率：</w:t>
            </w:r>
            <w:r>
              <w:rPr>
                <w:spacing w:val="4"/>
                <w:sz w:val="21"/>
                <w:szCs w:val="21"/>
              </w:rPr>
              <w:t>10采样点/秒（总共）</w:t>
            </w:r>
          </w:p>
          <w:p>
            <w:pPr>
              <w:pStyle w:val="4"/>
              <w:kinsoku w:val="0"/>
              <w:overflowPunct w:val="0"/>
              <w:spacing w:line="400" w:lineRule="exact"/>
              <w:jc w:val="both"/>
              <w:rPr>
                <w:spacing w:val="4"/>
                <w:sz w:val="21"/>
                <w:szCs w:val="21"/>
              </w:rPr>
            </w:pPr>
            <w:r>
              <w:rPr>
                <w:spacing w:val="4"/>
                <w:sz w:val="21"/>
                <w:szCs w:val="21"/>
              </w:rPr>
              <w:t>9.RS485设备-数字量</w:t>
            </w:r>
          </w:p>
          <w:p>
            <w:pPr>
              <w:pStyle w:val="4"/>
              <w:kinsoku w:val="0"/>
              <w:overflowPunct w:val="0"/>
              <w:spacing w:line="400" w:lineRule="exact"/>
              <w:jc w:val="both"/>
              <w:rPr>
                <w:spacing w:val="4"/>
                <w:sz w:val="21"/>
                <w:szCs w:val="21"/>
              </w:rPr>
            </w:pPr>
            <w:r>
              <w:rPr>
                <w:rFonts w:hint="eastAsia"/>
                <w:spacing w:val="4"/>
                <w:sz w:val="21"/>
                <w:szCs w:val="21"/>
              </w:rPr>
              <w:t>具备至少</w:t>
            </w:r>
            <w:r>
              <w:rPr>
                <w:spacing w:val="4"/>
                <w:sz w:val="21"/>
                <w:szCs w:val="21"/>
              </w:rPr>
              <w:t>7路DI</w:t>
            </w:r>
          </w:p>
          <w:p>
            <w:pPr>
              <w:pStyle w:val="4"/>
              <w:kinsoku w:val="0"/>
              <w:overflowPunct w:val="0"/>
              <w:spacing w:line="400" w:lineRule="exact"/>
              <w:jc w:val="both"/>
              <w:rPr>
                <w:spacing w:val="4"/>
                <w:sz w:val="21"/>
                <w:szCs w:val="21"/>
              </w:rPr>
            </w:pPr>
            <w:r>
              <w:rPr>
                <w:rFonts w:hint="eastAsia"/>
                <w:spacing w:val="4"/>
                <w:sz w:val="21"/>
                <w:szCs w:val="21"/>
              </w:rPr>
              <w:t>具备至少</w:t>
            </w:r>
            <w:r>
              <w:rPr>
                <w:spacing w:val="4"/>
                <w:sz w:val="21"/>
                <w:szCs w:val="21"/>
              </w:rPr>
              <w:t>8路DO</w:t>
            </w:r>
          </w:p>
          <w:p>
            <w:pPr>
              <w:pStyle w:val="4"/>
              <w:kinsoku w:val="0"/>
              <w:overflowPunct w:val="0"/>
              <w:spacing w:line="400" w:lineRule="exact"/>
              <w:jc w:val="both"/>
              <w:rPr>
                <w:spacing w:val="4"/>
                <w:sz w:val="21"/>
                <w:szCs w:val="21"/>
              </w:rPr>
            </w:pPr>
            <w:r>
              <w:rPr>
                <w:spacing w:val="4"/>
                <w:sz w:val="21"/>
                <w:szCs w:val="21"/>
              </w:rPr>
              <w:t>DO通道支持脉冲输出功能</w:t>
            </w:r>
          </w:p>
          <w:p>
            <w:pPr>
              <w:pStyle w:val="4"/>
              <w:kinsoku w:val="0"/>
              <w:overflowPunct w:val="0"/>
              <w:spacing w:line="400" w:lineRule="exact"/>
              <w:jc w:val="both"/>
              <w:rPr>
                <w:spacing w:val="4"/>
                <w:sz w:val="21"/>
                <w:szCs w:val="21"/>
              </w:rPr>
            </w:pPr>
            <w:r>
              <w:rPr>
                <w:rFonts w:hint="eastAsia"/>
                <w:spacing w:val="4"/>
                <w:sz w:val="21"/>
                <w:szCs w:val="21"/>
              </w:rPr>
              <w:t>具备</w:t>
            </w:r>
            <w:r>
              <w:rPr>
                <w:spacing w:val="4"/>
                <w:sz w:val="21"/>
                <w:szCs w:val="21"/>
              </w:rPr>
              <w:t>LED指示灯</w:t>
            </w:r>
          </w:p>
          <w:p>
            <w:pPr>
              <w:pStyle w:val="4"/>
              <w:kinsoku w:val="0"/>
              <w:overflowPunct w:val="0"/>
              <w:spacing w:line="400" w:lineRule="exact"/>
              <w:jc w:val="both"/>
              <w:rPr>
                <w:spacing w:val="4"/>
                <w:sz w:val="21"/>
                <w:szCs w:val="21"/>
              </w:rPr>
            </w:pPr>
            <w:r>
              <w:rPr>
                <w:rFonts w:hint="eastAsia"/>
                <w:spacing w:val="4"/>
                <w:sz w:val="21"/>
                <w:szCs w:val="21"/>
              </w:rPr>
              <w:t>具备数字滤波器功能</w:t>
            </w:r>
          </w:p>
          <w:p>
            <w:pPr>
              <w:pStyle w:val="4"/>
              <w:kinsoku w:val="0"/>
              <w:overflowPunct w:val="0"/>
              <w:spacing w:line="400" w:lineRule="exact"/>
              <w:jc w:val="both"/>
              <w:rPr>
                <w:spacing w:val="4"/>
                <w:sz w:val="21"/>
                <w:szCs w:val="21"/>
              </w:rPr>
            </w:pPr>
            <w:r>
              <w:rPr>
                <w:rFonts w:hint="eastAsia"/>
                <w:spacing w:val="4"/>
                <w:sz w:val="21"/>
                <w:szCs w:val="21"/>
              </w:rPr>
              <w:t>具备过流</w:t>
            </w:r>
            <w:r>
              <w:rPr>
                <w:spacing w:val="4"/>
                <w:sz w:val="21"/>
                <w:szCs w:val="21"/>
              </w:rPr>
              <w:t>/短路保护</w:t>
            </w:r>
          </w:p>
          <w:p>
            <w:pPr>
              <w:pStyle w:val="4"/>
              <w:kinsoku w:val="0"/>
              <w:overflowPunct w:val="0"/>
              <w:spacing w:line="400" w:lineRule="exact"/>
              <w:jc w:val="both"/>
              <w:rPr>
                <w:spacing w:val="4"/>
                <w:sz w:val="21"/>
                <w:szCs w:val="21"/>
              </w:rPr>
            </w:pPr>
            <w:r>
              <w:rPr>
                <w:rFonts w:hint="eastAsia"/>
                <w:spacing w:val="4"/>
                <w:sz w:val="21"/>
                <w:szCs w:val="21"/>
              </w:rPr>
              <w:t>具备</w:t>
            </w:r>
            <w:r>
              <w:rPr>
                <w:spacing w:val="4"/>
                <w:sz w:val="21"/>
                <w:szCs w:val="21"/>
              </w:rPr>
              <w:t>3KV EFT及8KV ESD保护</w:t>
            </w:r>
          </w:p>
          <w:p>
            <w:pPr>
              <w:pStyle w:val="4"/>
              <w:kinsoku w:val="0"/>
              <w:overflowPunct w:val="0"/>
              <w:spacing w:line="400" w:lineRule="exact"/>
              <w:jc w:val="both"/>
              <w:rPr>
                <w:spacing w:val="4"/>
                <w:sz w:val="21"/>
                <w:szCs w:val="21"/>
              </w:rPr>
            </w:pPr>
            <w:r>
              <w:rPr>
                <w:spacing w:val="4"/>
                <w:sz w:val="21"/>
                <w:szCs w:val="21"/>
              </w:rPr>
              <w:t>10.四通道模拟量通讯模块</w:t>
            </w:r>
          </w:p>
          <w:p>
            <w:pPr>
              <w:pStyle w:val="4"/>
              <w:kinsoku w:val="0"/>
              <w:overflowPunct w:val="0"/>
              <w:spacing w:line="400" w:lineRule="exact"/>
              <w:jc w:val="both"/>
              <w:rPr>
                <w:spacing w:val="4"/>
                <w:sz w:val="21"/>
                <w:szCs w:val="21"/>
              </w:rPr>
            </w:pPr>
            <w:r>
              <w:rPr>
                <w:rFonts w:hint="eastAsia"/>
                <w:spacing w:val="4"/>
                <w:sz w:val="21"/>
                <w:szCs w:val="21"/>
              </w:rPr>
              <w:t>端口数量：不少于</w:t>
            </w:r>
            <w:r>
              <w:rPr>
                <w:spacing w:val="4"/>
                <w:sz w:val="21"/>
                <w:szCs w:val="21"/>
              </w:rPr>
              <w:t>4个</w:t>
            </w:r>
          </w:p>
          <w:p>
            <w:pPr>
              <w:pStyle w:val="4"/>
              <w:kinsoku w:val="0"/>
              <w:overflowPunct w:val="0"/>
              <w:spacing w:line="400" w:lineRule="exact"/>
              <w:jc w:val="both"/>
              <w:rPr>
                <w:spacing w:val="4"/>
                <w:sz w:val="21"/>
                <w:szCs w:val="21"/>
              </w:rPr>
            </w:pPr>
            <w:r>
              <w:rPr>
                <w:rFonts w:hint="eastAsia"/>
                <w:spacing w:val="4"/>
                <w:sz w:val="21"/>
                <w:szCs w:val="21"/>
              </w:rPr>
              <w:t>端口类型：模拟输入</w:t>
            </w:r>
          </w:p>
          <w:p>
            <w:pPr>
              <w:pStyle w:val="4"/>
              <w:kinsoku w:val="0"/>
              <w:overflowPunct w:val="0"/>
              <w:spacing w:line="400" w:lineRule="exact"/>
              <w:jc w:val="both"/>
              <w:rPr>
                <w:spacing w:val="4"/>
                <w:sz w:val="21"/>
                <w:szCs w:val="21"/>
              </w:rPr>
            </w:pPr>
            <w:r>
              <w:rPr>
                <w:rFonts w:hint="eastAsia"/>
                <w:spacing w:val="4"/>
                <w:sz w:val="21"/>
                <w:szCs w:val="21"/>
              </w:rPr>
              <w:t>端口电流：</w:t>
            </w:r>
            <w:r>
              <w:rPr>
                <w:spacing w:val="4"/>
                <w:sz w:val="21"/>
                <w:szCs w:val="21"/>
              </w:rPr>
              <w:t>4-20毫安</w:t>
            </w:r>
          </w:p>
          <w:p>
            <w:pPr>
              <w:pStyle w:val="4"/>
              <w:kinsoku w:val="0"/>
              <w:overflowPunct w:val="0"/>
              <w:spacing w:line="400" w:lineRule="exact"/>
              <w:jc w:val="both"/>
              <w:rPr>
                <w:spacing w:val="4"/>
                <w:sz w:val="21"/>
                <w:szCs w:val="21"/>
              </w:rPr>
            </w:pPr>
            <w:r>
              <w:rPr>
                <w:spacing w:val="4"/>
                <w:sz w:val="21"/>
                <w:szCs w:val="21"/>
              </w:rPr>
              <w:t>11.无线路由器</w:t>
            </w:r>
          </w:p>
          <w:p>
            <w:pPr>
              <w:pStyle w:val="4"/>
              <w:kinsoku w:val="0"/>
              <w:overflowPunct w:val="0"/>
              <w:spacing w:line="400" w:lineRule="exact"/>
              <w:jc w:val="both"/>
              <w:rPr>
                <w:spacing w:val="4"/>
                <w:sz w:val="21"/>
                <w:szCs w:val="21"/>
              </w:rPr>
            </w:pPr>
            <w:r>
              <w:rPr>
                <w:rFonts w:hint="eastAsia"/>
                <w:spacing w:val="4"/>
                <w:sz w:val="21"/>
                <w:szCs w:val="21"/>
              </w:rPr>
              <w:t>支持网络标准：</w:t>
            </w:r>
            <w:r>
              <w:rPr>
                <w:spacing w:val="4"/>
                <w:sz w:val="21"/>
                <w:szCs w:val="21"/>
              </w:rPr>
              <w:t>IEEE802.11a，IEEE802.11b， IEEE802.11g；</w:t>
            </w:r>
          </w:p>
          <w:p>
            <w:pPr>
              <w:pStyle w:val="4"/>
              <w:kinsoku w:val="0"/>
              <w:overflowPunct w:val="0"/>
              <w:spacing w:line="400" w:lineRule="exact"/>
              <w:jc w:val="both"/>
              <w:rPr>
                <w:spacing w:val="4"/>
                <w:sz w:val="21"/>
                <w:szCs w:val="21"/>
              </w:rPr>
            </w:pPr>
            <w:r>
              <w:rPr>
                <w:spacing w:val="4"/>
                <w:sz w:val="21"/>
                <w:szCs w:val="21"/>
              </w:rPr>
              <w:t>12.千兆交换机</w:t>
            </w:r>
          </w:p>
          <w:p>
            <w:pPr>
              <w:pStyle w:val="4"/>
              <w:kinsoku w:val="0"/>
              <w:overflowPunct w:val="0"/>
              <w:spacing w:line="400" w:lineRule="exact"/>
              <w:jc w:val="both"/>
              <w:rPr>
                <w:spacing w:val="4"/>
                <w:sz w:val="21"/>
                <w:szCs w:val="21"/>
              </w:rPr>
            </w:pPr>
            <w:r>
              <w:rPr>
                <w:rFonts w:hint="eastAsia"/>
                <w:spacing w:val="4"/>
                <w:sz w:val="21"/>
                <w:szCs w:val="21"/>
              </w:rPr>
              <w:t>至少具备</w:t>
            </w:r>
            <w:r>
              <w:rPr>
                <w:spacing w:val="4"/>
                <w:sz w:val="21"/>
                <w:szCs w:val="21"/>
              </w:rPr>
              <w:t>8个10/100/1000M自适应RJ45端口</w:t>
            </w:r>
          </w:p>
        </w:tc>
        <w:tc>
          <w:tcPr>
            <w:tcW w:w="465"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套</w:t>
            </w:r>
          </w:p>
        </w:tc>
        <w:tc>
          <w:tcPr>
            <w:tcW w:w="507"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6</w:t>
            </w:r>
          </w:p>
        </w:tc>
        <w:tc>
          <w:tcPr>
            <w:tcW w:w="687"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硬件</w:t>
            </w:r>
          </w:p>
        </w:tc>
        <w:tc>
          <w:tcPr>
            <w:tcW w:w="992"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智能终端套件</w:t>
            </w:r>
          </w:p>
        </w:tc>
        <w:tc>
          <w:tcPr>
            <w:tcW w:w="5065" w:type="dxa"/>
            <w:vAlign w:val="center"/>
          </w:tcPr>
          <w:p>
            <w:pPr>
              <w:pStyle w:val="4"/>
              <w:kinsoku w:val="0"/>
              <w:overflowPunct w:val="0"/>
              <w:spacing w:line="400" w:lineRule="exact"/>
              <w:jc w:val="both"/>
              <w:rPr>
                <w:spacing w:val="4"/>
                <w:sz w:val="21"/>
                <w:szCs w:val="21"/>
              </w:rPr>
            </w:pPr>
            <w:r>
              <w:rPr>
                <w:spacing w:val="4"/>
                <w:sz w:val="21"/>
                <w:szCs w:val="21"/>
              </w:rPr>
              <w:t>1.物联网网关</w:t>
            </w:r>
          </w:p>
          <w:p>
            <w:pPr>
              <w:pStyle w:val="4"/>
              <w:kinsoku w:val="0"/>
              <w:overflowPunct w:val="0"/>
              <w:spacing w:line="400" w:lineRule="exact"/>
              <w:jc w:val="both"/>
              <w:rPr>
                <w:spacing w:val="4"/>
                <w:sz w:val="21"/>
                <w:szCs w:val="21"/>
              </w:rPr>
            </w:pPr>
            <w:r>
              <w:rPr>
                <w:rFonts w:hint="eastAsia"/>
                <w:spacing w:val="4"/>
                <w:sz w:val="21"/>
                <w:szCs w:val="21"/>
              </w:rPr>
              <w:t>支持</w:t>
            </w:r>
            <w:r>
              <w:rPr>
                <w:spacing w:val="4"/>
                <w:sz w:val="21"/>
                <w:szCs w:val="21"/>
              </w:rPr>
              <w:t>Ubuntu系统；</w:t>
            </w:r>
          </w:p>
          <w:p>
            <w:pPr>
              <w:pStyle w:val="4"/>
              <w:kinsoku w:val="0"/>
              <w:overflowPunct w:val="0"/>
              <w:spacing w:line="400" w:lineRule="exact"/>
              <w:jc w:val="both"/>
              <w:rPr>
                <w:spacing w:val="4"/>
                <w:sz w:val="21"/>
                <w:szCs w:val="21"/>
              </w:rPr>
            </w:pPr>
            <w:r>
              <w:rPr>
                <w:rFonts w:hint="eastAsia"/>
                <w:spacing w:val="4"/>
                <w:sz w:val="21"/>
                <w:szCs w:val="21"/>
              </w:rPr>
              <w:t>具备</w:t>
            </w:r>
            <w:r>
              <w:rPr>
                <w:spacing w:val="4"/>
                <w:sz w:val="21"/>
                <w:szCs w:val="21"/>
              </w:rPr>
              <w:t>10/100/1000Mbps RJ45以太网端口，支持2.4GHz WiFi连接，具备HDMI；</w:t>
            </w:r>
          </w:p>
          <w:p>
            <w:pPr>
              <w:pStyle w:val="4"/>
              <w:kinsoku w:val="0"/>
              <w:overflowPunct w:val="0"/>
              <w:spacing w:line="400" w:lineRule="exact"/>
              <w:jc w:val="both"/>
              <w:rPr>
                <w:spacing w:val="4"/>
                <w:sz w:val="21"/>
                <w:szCs w:val="21"/>
              </w:rPr>
            </w:pPr>
            <w:r>
              <w:rPr>
                <w:rFonts w:hint="eastAsia"/>
                <w:spacing w:val="4"/>
                <w:sz w:val="21"/>
                <w:szCs w:val="21"/>
              </w:rPr>
              <w:t>支持</w:t>
            </w:r>
            <w:r>
              <w:rPr>
                <w:spacing w:val="4"/>
                <w:sz w:val="21"/>
                <w:szCs w:val="21"/>
              </w:rPr>
              <w:t>H.264,VP8和MVC图像增强处理；</w:t>
            </w:r>
          </w:p>
          <w:p>
            <w:pPr>
              <w:pStyle w:val="4"/>
              <w:kinsoku w:val="0"/>
              <w:overflowPunct w:val="0"/>
              <w:spacing w:line="400" w:lineRule="exact"/>
              <w:jc w:val="both"/>
              <w:rPr>
                <w:spacing w:val="4"/>
                <w:sz w:val="21"/>
                <w:szCs w:val="21"/>
              </w:rPr>
            </w:pPr>
            <w:r>
              <w:rPr>
                <w:rFonts w:hint="eastAsia"/>
                <w:spacing w:val="4"/>
                <w:sz w:val="21"/>
                <w:szCs w:val="21"/>
              </w:rPr>
              <w:t>具备硬件安全系统</w:t>
            </w:r>
            <w:r>
              <w:rPr>
                <w:spacing w:val="4"/>
                <w:sz w:val="21"/>
                <w:szCs w:val="21"/>
              </w:rPr>
              <w:t>,支持HDCP2.X，支持ATECC608A芯片硬件加密；</w:t>
            </w:r>
          </w:p>
          <w:p>
            <w:pPr>
              <w:pStyle w:val="4"/>
              <w:kinsoku w:val="0"/>
              <w:overflowPunct w:val="0"/>
              <w:spacing w:line="400" w:lineRule="exact"/>
              <w:jc w:val="both"/>
              <w:rPr>
                <w:spacing w:val="4"/>
                <w:sz w:val="21"/>
                <w:szCs w:val="21"/>
              </w:rPr>
            </w:pPr>
            <w:r>
              <w:rPr>
                <w:rFonts w:hint="eastAsia"/>
                <w:spacing w:val="4"/>
                <w:sz w:val="21"/>
                <w:szCs w:val="21"/>
              </w:rPr>
              <w:t>支持</w:t>
            </w:r>
            <w:r>
              <w:rPr>
                <w:spacing w:val="4"/>
                <w:sz w:val="21"/>
                <w:szCs w:val="21"/>
              </w:rPr>
              <w:t>OpenCV机器视觉库、支持TensorFlow；支持连接物联网云平台（基于SHA256、PRF、 HMAC-SHA256、HKDF、ECDSA、ECDH、AES算法加密密文通信)；</w:t>
            </w:r>
          </w:p>
          <w:p>
            <w:pPr>
              <w:pStyle w:val="4"/>
              <w:kinsoku w:val="0"/>
              <w:overflowPunct w:val="0"/>
              <w:spacing w:line="400" w:lineRule="exact"/>
              <w:jc w:val="both"/>
              <w:rPr>
                <w:spacing w:val="4"/>
                <w:sz w:val="21"/>
                <w:szCs w:val="21"/>
              </w:rPr>
            </w:pPr>
            <w:r>
              <w:rPr>
                <w:rFonts w:hint="eastAsia"/>
                <w:spacing w:val="4"/>
                <w:sz w:val="21"/>
                <w:szCs w:val="21"/>
              </w:rPr>
              <w:t>南向支持对接各种支持</w:t>
            </w:r>
            <w:r>
              <w:rPr>
                <w:spacing w:val="4"/>
                <w:sz w:val="21"/>
                <w:szCs w:val="21"/>
              </w:rPr>
              <w:t>Modbus总线协议的物联</w:t>
            </w:r>
            <w:r>
              <w:rPr>
                <w:rFonts w:hint="eastAsia"/>
                <w:spacing w:val="4"/>
                <w:sz w:val="21"/>
                <w:szCs w:val="21"/>
              </w:rPr>
              <w:t>网设备，并可通过容器化部署，实现数据采集、设备控制及管理；</w:t>
            </w:r>
          </w:p>
          <w:p>
            <w:pPr>
              <w:pStyle w:val="4"/>
              <w:kinsoku w:val="0"/>
              <w:overflowPunct w:val="0"/>
              <w:spacing w:line="400" w:lineRule="exact"/>
              <w:jc w:val="both"/>
              <w:rPr>
                <w:spacing w:val="4"/>
                <w:sz w:val="21"/>
                <w:szCs w:val="21"/>
              </w:rPr>
            </w:pPr>
            <w:r>
              <w:rPr>
                <w:rFonts w:hint="eastAsia"/>
                <w:spacing w:val="4"/>
                <w:sz w:val="21"/>
                <w:szCs w:val="21"/>
              </w:rPr>
              <w:t>南向支持对接各种支持</w:t>
            </w:r>
            <w:r>
              <w:rPr>
                <w:spacing w:val="4"/>
                <w:sz w:val="21"/>
                <w:szCs w:val="21"/>
              </w:rPr>
              <w:t>CANbus总线协议的物联网设备，并可通过容器化部署，实现接收设备自主上报数据并进行管理；</w:t>
            </w:r>
          </w:p>
          <w:p>
            <w:pPr>
              <w:pStyle w:val="4"/>
              <w:kinsoku w:val="0"/>
              <w:overflowPunct w:val="0"/>
              <w:spacing w:line="400" w:lineRule="exact"/>
              <w:jc w:val="both"/>
              <w:rPr>
                <w:spacing w:val="4"/>
                <w:sz w:val="21"/>
                <w:szCs w:val="21"/>
              </w:rPr>
            </w:pPr>
            <w:r>
              <w:rPr>
                <w:rFonts w:hint="eastAsia"/>
                <w:spacing w:val="4"/>
                <w:sz w:val="21"/>
                <w:szCs w:val="21"/>
              </w:rPr>
              <w:t>南向支持对接</w:t>
            </w:r>
            <w:r>
              <w:rPr>
                <w:spacing w:val="4"/>
                <w:sz w:val="21"/>
                <w:szCs w:val="21"/>
              </w:rPr>
              <w:t>ZigBee、WiFi、LoRa等无线协议，通过容器化部署，实现各种协议接入的物联网设备的数据采集、设备控制及管理；</w:t>
            </w:r>
          </w:p>
          <w:p>
            <w:pPr>
              <w:pStyle w:val="4"/>
              <w:kinsoku w:val="0"/>
              <w:overflowPunct w:val="0"/>
              <w:spacing w:line="400" w:lineRule="exact"/>
              <w:jc w:val="both"/>
              <w:rPr>
                <w:spacing w:val="4"/>
                <w:sz w:val="21"/>
                <w:szCs w:val="21"/>
              </w:rPr>
            </w:pPr>
            <w:r>
              <w:rPr>
                <w:rFonts w:hint="eastAsia"/>
                <w:spacing w:val="4"/>
                <w:sz w:val="21"/>
                <w:szCs w:val="21"/>
              </w:rPr>
              <w:t>南向支持通过以太网连接串口服务器，采集和控制串口服务器下挂的串口设备；</w:t>
            </w:r>
          </w:p>
          <w:p>
            <w:pPr>
              <w:pStyle w:val="4"/>
              <w:kinsoku w:val="0"/>
              <w:overflowPunct w:val="0"/>
              <w:spacing w:line="400" w:lineRule="exact"/>
              <w:jc w:val="both"/>
              <w:rPr>
                <w:spacing w:val="4"/>
                <w:sz w:val="21"/>
                <w:szCs w:val="21"/>
              </w:rPr>
            </w:pPr>
            <w:r>
              <w:rPr>
                <w:rFonts w:hint="eastAsia"/>
                <w:spacing w:val="4"/>
                <w:sz w:val="21"/>
                <w:szCs w:val="21"/>
              </w:rPr>
              <w:t>北向连接物联网云平台、边缘计算服务系统及物联网应用，实现数据的北向通信以及指令接收。</w:t>
            </w:r>
          </w:p>
          <w:p>
            <w:pPr>
              <w:pStyle w:val="4"/>
              <w:kinsoku w:val="0"/>
              <w:overflowPunct w:val="0"/>
              <w:spacing w:line="400" w:lineRule="exact"/>
              <w:jc w:val="both"/>
              <w:rPr>
                <w:spacing w:val="4"/>
                <w:sz w:val="21"/>
                <w:szCs w:val="21"/>
              </w:rPr>
            </w:pPr>
            <w:r>
              <w:rPr>
                <w:spacing w:val="4"/>
                <w:sz w:val="21"/>
                <w:szCs w:val="21"/>
              </w:rPr>
              <w:t>2.物联网应用开发终端</w:t>
            </w:r>
          </w:p>
          <w:p>
            <w:pPr>
              <w:pStyle w:val="4"/>
              <w:kinsoku w:val="0"/>
              <w:overflowPunct w:val="0"/>
              <w:spacing w:line="400" w:lineRule="exact"/>
              <w:jc w:val="both"/>
              <w:rPr>
                <w:spacing w:val="4"/>
                <w:sz w:val="21"/>
                <w:szCs w:val="21"/>
              </w:rPr>
            </w:pPr>
            <w:r>
              <w:rPr>
                <w:rFonts w:hint="eastAsia"/>
                <w:spacing w:val="4"/>
                <w:sz w:val="21"/>
                <w:szCs w:val="21"/>
              </w:rPr>
              <w:t>接口要求：至少配备</w:t>
            </w:r>
            <w:r>
              <w:rPr>
                <w:spacing w:val="4"/>
                <w:sz w:val="21"/>
                <w:szCs w:val="21"/>
              </w:rPr>
              <w:t>1路RS485信号接口，1个以太网口，1个TF卡槽，1个HDMI接口，1个USB OTG接口，3路USB HOST接口，4路调试串口（包含调试及通讯功能）；</w:t>
            </w:r>
          </w:p>
          <w:p>
            <w:pPr>
              <w:pStyle w:val="4"/>
              <w:kinsoku w:val="0"/>
              <w:overflowPunct w:val="0"/>
              <w:spacing w:line="400" w:lineRule="exact"/>
              <w:jc w:val="both"/>
              <w:rPr>
                <w:spacing w:val="4"/>
                <w:sz w:val="21"/>
                <w:szCs w:val="21"/>
              </w:rPr>
            </w:pPr>
            <w:r>
              <w:rPr>
                <w:rFonts w:hint="eastAsia"/>
                <w:spacing w:val="4"/>
                <w:sz w:val="21"/>
                <w:szCs w:val="21"/>
              </w:rPr>
              <w:t>支持对网关传输数据的逻辑处理，可自动下发控制指令，支持对常用传感器节点的数据进行逻辑处理，自动生成控制指令；</w:t>
            </w:r>
          </w:p>
          <w:p>
            <w:pPr>
              <w:pStyle w:val="4"/>
              <w:kinsoku w:val="0"/>
              <w:overflowPunct w:val="0"/>
              <w:spacing w:line="400" w:lineRule="exact"/>
              <w:jc w:val="both"/>
              <w:rPr>
                <w:spacing w:val="4"/>
                <w:sz w:val="21"/>
                <w:szCs w:val="21"/>
              </w:rPr>
            </w:pPr>
            <w:r>
              <w:rPr>
                <w:rFonts w:hint="eastAsia"/>
                <w:spacing w:val="4"/>
                <w:sz w:val="21"/>
                <w:szCs w:val="21"/>
              </w:rPr>
              <w:t>支持多种数据采集方式，至少包含网关连接和串口直连方式；</w:t>
            </w:r>
          </w:p>
          <w:p>
            <w:pPr>
              <w:pStyle w:val="4"/>
              <w:kinsoku w:val="0"/>
              <w:overflowPunct w:val="0"/>
              <w:spacing w:line="400" w:lineRule="exact"/>
              <w:jc w:val="both"/>
              <w:rPr>
                <w:spacing w:val="4"/>
                <w:sz w:val="21"/>
                <w:szCs w:val="21"/>
              </w:rPr>
            </w:pPr>
            <w:r>
              <w:rPr>
                <w:rFonts w:hint="eastAsia"/>
                <w:spacing w:val="4"/>
                <w:sz w:val="21"/>
                <w:szCs w:val="21"/>
              </w:rPr>
              <w:t>多通道数据传输，至少支持</w:t>
            </w:r>
            <w:r>
              <w:rPr>
                <w:spacing w:val="4"/>
                <w:sz w:val="21"/>
                <w:szCs w:val="21"/>
              </w:rPr>
              <w:t>wifi、串口、RJ45、蓝牙等多种数据传输方式；</w:t>
            </w:r>
          </w:p>
          <w:p>
            <w:pPr>
              <w:pStyle w:val="4"/>
              <w:kinsoku w:val="0"/>
              <w:overflowPunct w:val="0"/>
              <w:spacing w:line="400" w:lineRule="exact"/>
              <w:jc w:val="both"/>
              <w:rPr>
                <w:spacing w:val="4"/>
                <w:sz w:val="21"/>
                <w:szCs w:val="21"/>
              </w:rPr>
            </w:pPr>
            <w:r>
              <w:rPr>
                <w:spacing w:val="4"/>
                <w:sz w:val="21"/>
                <w:szCs w:val="21"/>
              </w:rPr>
              <w:t>3.智能摄像头</w:t>
            </w:r>
          </w:p>
          <w:p>
            <w:pPr>
              <w:pStyle w:val="4"/>
              <w:kinsoku w:val="0"/>
              <w:overflowPunct w:val="0"/>
              <w:spacing w:line="400" w:lineRule="exact"/>
              <w:jc w:val="both"/>
              <w:rPr>
                <w:spacing w:val="4"/>
                <w:sz w:val="21"/>
                <w:szCs w:val="21"/>
              </w:rPr>
            </w:pPr>
            <w:r>
              <w:rPr>
                <w:rFonts w:hint="eastAsia"/>
                <w:spacing w:val="4"/>
                <w:sz w:val="21"/>
                <w:szCs w:val="21"/>
              </w:rPr>
              <w:t>视频压缩支持：</w:t>
            </w:r>
            <w:r>
              <w:rPr>
                <w:spacing w:val="4"/>
                <w:sz w:val="21"/>
                <w:szCs w:val="21"/>
              </w:rPr>
              <w:t>H.264MainProfile@Level4.1 / Motion JPEG</w:t>
            </w:r>
          </w:p>
          <w:p>
            <w:pPr>
              <w:pStyle w:val="4"/>
              <w:kinsoku w:val="0"/>
              <w:overflowPunct w:val="0"/>
              <w:spacing w:line="400" w:lineRule="exact"/>
              <w:jc w:val="both"/>
              <w:rPr>
                <w:spacing w:val="4"/>
                <w:sz w:val="21"/>
                <w:szCs w:val="21"/>
              </w:rPr>
            </w:pPr>
            <w:r>
              <w:rPr>
                <w:rFonts w:hint="eastAsia"/>
                <w:spacing w:val="4"/>
                <w:sz w:val="21"/>
                <w:szCs w:val="21"/>
              </w:rPr>
              <w:t>网络协议支持：</w:t>
            </w:r>
            <w:r>
              <w:rPr>
                <w:spacing w:val="4"/>
                <w:sz w:val="21"/>
                <w:szCs w:val="21"/>
              </w:rPr>
              <w:t>IPv4, TCP/IP, UDP, HTTP,</w:t>
            </w:r>
            <w:r>
              <w:rPr>
                <w:sz w:val="21"/>
                <w:szCs w:val="21"/>
              </w:rPr>
              <w:t xml:space="preserve"> </w:t>
            </w:r>
            <w:r>
              <w:rPr>
                <w:spacing w:val="4"/>
                <w:sz w:val="21"/>
                <w:szCs w:val="21"/>
              </w:rPr>
              <w:t>RTP/RTCP/RTSP, FTP具备RJ45网口</w:t>
            </w:r>
          </w:p>
        </w:tc>
        <w:tc>
          <w:tcPr>
            <w:tcW w:w="465"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套</w:t>
            </w:r>
          </w:p>
        </w:tc>
        <w:tc>
          <w:tcPr>
            <w:tcW w:w="507" w:type="dxa"/>
            <w:vAlign w:val="center"/>
          </w:tcPr>
          <w:p>
            <w:pPr>
              <w:pStyle w:val="4"/>
              <w:kinsoku w:val="0"/>
              <w:overflowPunct w:val="0"/>
              <w:spacing w:line="400" w:lineRule="exact"/>
              <w:ind w:left="0"/>
              <w:jc w:val="center"/>
              <w:rPr>
                <w:spacing w:val="4"/>
                <w:sz w:val="21"/>
                <w:szCs w:val="21"/>
              </w:rPr>
            </w:pPr>
            <w:r>
              <w:rPr>
                <w:rFonts w:hint="eastAsia"/>
                <w:spacing w:val="4"/>
                <w:sz w:val="21"/>
                <w:szCs w:val="21"/>
              </w:rPr>
              <w:t>1</w:t>
            </w:r>
          </w:p>
        </w:tc>
      </w:tr>
    </w:tbl>
    <w:p>
      <w:pPr>
        <w:autoSpaceDE w:val="0"/>
        <w:autoSpaceDN w:val="0"/>
        <w:spacing w:line="500" w:lineRule="exact"/>
        <w:ind w:firstLine="480"/>
        <w:rPr>
          <w:rFonts w:ascii="仿宋" w:hAnsi="仿宋" w:cs="Times New Roman"/>
          <w:kern w:val="0"/>
          <w:szCs w:val="24"/>
        </w:rPr>
      </w:pPr>
      <w:r>
        <w:rPr>
          <w:rFonts w:hint="eastAsia" w:ascii="仿宋" w:hAnsi="仿宋" w:cs="Times New Roman"/>
          <w:kern w:val="0"/>
          <w:szCs w:val="24"/>
        </w:rPr>
        <w:t>（二）竞赛工量具清单</w:t>
      </w:r>
    </w:p>
    <w:p>
      <w:pPr>
        <w:autoSpaceDE w:val="0"/>
        <w:autoSpaceDN w:val="0"/>
        <w:spacing w:line="500" w:lineRule="exact"/>
        <w:ind w:firstLine="480"/>
        <w:rPr>
          <w:rFonts w:ascii="仿宋" w:hAnsi="仿宋" w:cs="Times New Roman"/>
          <w:kern w:val="0"/>
          <w:szCs w:val="24"/>
        </w:rPr>
      </w:pPr>
      <w:r>
        <w:rPr>
          <w:rFonts w:ascii="仿宋" w:hAnsi="仿宋" w:cs="Times New Roman"/>
          <w:kern w:val="0"/>
          <w:szCs w:val="24"/>
        </w:rPr>
        <w:tab/>
      </w:r>
      <w:r>
        <w:rPr>
          <w:rFonts w:hint="eastAsia" w:ascii="仿宋" w:hAnsi="仿宋" w:cs="Times New Roman"/>
          <w:kern w:val="0"/>
          <w:szCs w:val="24"/>
        </w:rPr>
        <w:t>每个工位提供标准工具包1个。</w:t>
      </w:r>
    </w:p>
    <w:p>
      <w:pPr>
        <w:pStyle w:val="4"/>
        <w:kinsoku w:val="0"/>
        <w:overflowPunct w:val="0"/>
        <w:spacing w:line="341" w:lineRule="exact"/>
        <w:ind w:right="3"/>
        <w:jc w:val="center"/>
        <w:rPr>
          <w:rFonts w:ascii="仿宋" w:hAnsi="仿宋" w:eastAsia="仿宋" w:cs="Times New Roman"/>
          <w:sz w:val="24"/>
          <w:szCs w:val="24"/>
        </w:rPr>
      </w:pPr>
      <w:r>
        <w:rPr>
          <w:rFonts w:ascii="仿宋" w:hAnsi="仿宋" w:eastAsia="仿宋" w:cs="Times New Roman"/>
          <w:sz w:val="24"/>
          <w:szCs w:val="24"/>
        </w:rPr>
        <w:t>IoT</w:t>
      </w:r>
      <w:r>
        <w:rPr>
          <w:rFonts w:hint="eastAsia" w:ascii="仿宋" w:hAnsi="仿宋" w:eastAsia="仿宋" w:cs="Times New Roman"/>
          <w:sz w:val="24"/>
          <w:szCs w:val="24"/>
        </w:rPr>
        <w:t>工具包明细清单</w:t>
      </w:r>
    </w:p>
    <w:tbl>
      <w:tblPr>
        <w:tblStyle w:val="8"/>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5"/>
        <w:gridCol w:w="2100"/>
        <w:gridCol w:w="2101"/>
        <w:gridCol w:w="1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5" w:type="dxa"/>
          </w:tcPr>
          <w:p>
            <w:pPr>
              <w:pStyle w:val="4"/>
              <w:kinsoku w:val="0"/>
              <w:overflowPunct w:val="0"/>
              <w:spacing w:line="341" w:lineRule="exact"/>
              <w:ind w:left="0" w:right="3"/>
              <w:jc w:val="center"/>
              <w:rPr>
                <w:rFonts w:ascii="仿宋" w:hAnsi="仿宋" w:eastAsia="仿宋"/>
                <w:b/>
                <w:bCs/>
                <w:sz w:val="21"/>
                <w:szCs w:val="21"/>
              </w:rPr>
            </w:pPr>
            <w:r>
              <w:rPr>
                <w:rFonts w:hint="eastAsia" w:ascii="仿宋" w:hAnsi="仿宋" w:eastAsia="仿宋"/>
                <w:b/>
                <w:bCs/>
                <w:sz w:val="21"/>
                <w:szCs w:val="21"/>
              </w:rPr>
              <w:t>序号</w:t>
            </w:r>
          </w:p>
        </w:tc>
        <w:tc>
          <w:tcPr>
            <w:tcW w:w="2100" w:type="dxa"/>
          </w:tcPr>
          <w:p>
            <w:pPr>
              <w:pStyle w:val="4"/>
              <w:kinsoku w:val="0"/>
              <w:overflowPunct w:val="0"/>
              <w:spacing w:line="341" w:lineRule="exact"/>
              <w:ind w:left="0" w:right="3"/>
              <w:jc w:val="center"/>
              <w:rPr>
                <w:rFonts w:ascii="仿宋" w:hAnsi="仿宋" w:eastAsia="仿宋"/>
                <w:b/>
                <w:bCs/>
                <w:sz w:val="21"/>
                <w:szCs w:val="21"/>
              </w:rPr>
            </w:pPr>
            <w:r>
              <w:rPr>
                <w:rFonts w:hint="eastAsia" w:ascii="仿宋" w:hAnsi="仿宋" w:eastAsia="仿宋"/>
                <w:b/>
                <w:bCs/>
                <w:sz w:val="21"/>
                <w:szCs w:val="21"/>
              </w:rPr>
              <w:t>名称</w:t>
            </w:r>
          </w:p>
        </w:tc>
        <w:tc>
          <w:tcPr>
            <w:tcW w:w="2101" w:type="dxa"/>
          </w:tcPr>
          <w:p>
            <w:pPr>
              <w:pStyle w:val="4"/>
              <w:kinsoku w:val="0"/>
              <w:overflowPunct w:val="0"/>
              <w:spacing w:line="341" w:lineRule="exact"/>
              <w:ind w:left="0" w:right="3"/>
              <w:jc w:val="center"/>
              <w:rPr>
                <w:rFonts w:ascii="仿宋" w:hAnsi="仿宋" w:eastAsia="仿宋"/>
                <w:b/>
                <w:bCs/>
                <w:sz w:val="21"/>
                <w:szCs w:val="21"/>
              </w:rPr>
            </w:pPr>
            <w:r>
              <w:rPr>
                <w:rFonts w:hint="eastAsia" w:ascii="仿宋" w:hAnsi="仿宋" w:eastAsia="仿宋"/>
                <w:b/>
                <w:bCs/>
                <w:sz w:val="21"/>
                <w:szCs w:val="21"/>
              </w:rPr>
              <w:t>单套数量</w:t>
            </w:r>
          </w:p>
        </w:tc>
        <w:tc>
          <w:tcPr>
            <w:tcW w:w="1484" w:type="dxa"/>
          </w:tcPr>
          <w:p>
            <w:pPr>
              <w:pStyle w:val="4"/>
              <w:kinsoku w:val="0"/>
              <w:overflowPunct w:val="0"/>
              <w:spacing w:line="341" w:lineRule="exact"/>
              <w:ind w:left="0" w:right="3"/>
              <w:jc w:val="center"/>
              <w:rPr>
                <w:rFonts w:ascii="仿宋" w:hAnsi="仿宋" w:eastAsia="仿宋"/>
                <w:b/>
                <w:bCs/>
                <w:sz w:val="21"/>
                <w:szCs w:val="21"/>
              </w:rPr>
            </w:pPr>
            <w:r>
              <w:rPr>
                <w:rFonts w:hint="eastAsia" w:ascii="仿宋" w:hAnsi="仿宋" w:eastAsia="仿宋"/>
                <w:b/>
                <w:bCs/>
                <w:sz w:val="21"/>
                <w:szCs w:val="21"/>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5"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2100"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斜口钳</w:t>
            </w:r>
          </w:p>
        </w:tc>
        <w:tc>
          <w:tcPr>
            <w:tcW w:w="2101"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1484"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5"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2</w:t>
            </w:r>
          </w:p>
        </w:tc>
        <w:tc>
          <w:tcPr>
            <w:tcW w:w="2100"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6寸多用尖嘴钳</w:t>
            </w:r>
          </w:p>
        </w:tc>
        <w:tc>
          <w:tcPr>
            <w:tcW w:w="2101"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1484"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5"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3</w:t>
            </w:r>
          </w:p>
        </w:tc>
        <w:tc>
          <w:tcPr>
            <w:tcW w:w="2100"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6寸剥线钳</w:t>
            </w:r>
          </w:p>
        </w:tc>
        <w:tc>
          <w:tcPr>
            <w:tcW w:w="2101"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1484"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5"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4</w:t>
            </w:r>
          </w:p>
        </w:tc>
        <w:tc>
          <w:tcPr>
            <w:tcW w:w="2100"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6mm十字螺丝刀</w:t>
            </w:r>
          </w:p>
        </w:tc>
        <w:tc>
          <w:tcPr>
            <w:tcW w:w="2101"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1484"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5"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5</w:t>
            </w:r>
          </w:p>
        </w:tc>
        <w:tc>
          <w:tcPr>
            <w:tcW w:w="2100"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工具包</w:t>
            </w:r>
          </w:p>
        </w:tc>
        <w:tc>
          <w:tcPr>
            <w:tcW w:w="2101"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1484"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5"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6</w:t>
            </w:r>
          </w:p>
        </w:tc>
        <w:tc>
          <w:tcPr>
            <w:tcW w:w="2100"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5mm十字螺丝刀</w:t>
            </w:r>
          </w:p>
        </w:tc>
        <w:tc>
          <w:tcPr>
            <w:tcW w:w="2101"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1484"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5"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7</w:t>
            </w:r>
          </w:p>
        </w:tc>
        <w:tc>
          <w:tcPr>
            <w:tcW w:w="2100"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5mm一字螺丝刀</w:t>
            </w:r>
          </w:p>
        </w:tc>
        <w:tc>
          <w:tcPr>
            <w:tcW w:w="2101"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1484"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5"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8</w:t>
            </w:r>
          </w:p>
        </w:tc>
        <w:tc>
          <w:tcPr>
            <w:tcW w:w="2100"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3MM螺丝刀（一字/十</w:t>
            </w:r>
          </w:p>
        </w:tc>
        <w:tc>
          <w:tcPr>
            <w:tcW w:w="2101" w:type="dxa"/>
          </w:tcPr>
          <w:p>
            <w:pPr>
              <w:pStyle w:val="4"/>
              <w:kinsoku w:val="0"/>
              <w:overflowPunct w:val="0"/>
              <w:spacing w:line="341" w:lineRule="exact"/>
              <w:ind w:left="0" w:right="3"/>
              <w:jc w:val="center"/>
              <w:rPr>
                <w:rFonts w:ascii="仿宋" w:hAnsi="仿宋" w:eastAsia="仿宋"/>
                <w:sz w:val="21"/>
                <w:szCs w:val="21"/>
              </w:rPr>
            </w:pPr>
          </w:p>
        </w:tc>
        <w:tc>
          <w:tcPr>
            <w:tcW w:w="1484" w:type="dxa"/>
          </w:tcPr>
          <w:p>
            <w:pPr>
              <w:pStyle w:val="4"/>
              <w:kinsoku w:val="0"/>
              <w:overflowPunct w:val="0"/>
              <w:spacing w:line="341" w:lineRule="exact"/>
              <w:ind w:left="0" w:right="3"/>
              <w:jc w:val="center"/>
              <w:rPr>
                <w:rFonts w:ascii="仿宋" w:hAnsi="仿宋"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5"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字）</w:t>
            </w:r>
          </w:p>
        </w:tc>
        <w:tc>
          <w:tcPr>
            <w:tcW w:w="2100"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2101"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把</w:t>
            </w:r>
          </w:p>
        </w:tc>
        <w:tc>
          <w:tcPr>
            <w:tcW w:w="1484" w:type="dxa"/>
          </w:tcPr>
          <w:p>
            <w:pPr>
              <w:pStyle w:val="4"/>
              <w:kinsoku w:val="0"/>
              <w:overflowPunct w:val="0"/>
              <w:spacing w:line="341" w:lineRule="exact"/>
              <w:ind w:left="0" w:right="3"/>
              <w:jc w:val="center"/>
              <w:rPr>
                <w:rFonts w:ascii="仿宋" w:hAnsi="仿宋"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5"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9</w:t>
            </w:r>
          </w:p>
        </w:tc>
        <w:tc>
          <w:tcPr>
            <w:tcW w:w="2100"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2.5mm*75mm一字螺丝刀</w:t>
            </w:r>
          </w:p>
        </w:tc>
        <w:tc>
          <w:tcPr>
            <w:tcW w:w="2101"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1484"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5"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10</w:t>
            </w:r>
          </w:p>
        </w:tc>
        <w:tc>
          <w:tcPr>
            <w:tcW w:w="2100"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2.0mm一字螺丝刀</w:t>
            </w:r>
          </w:p>
        </w:tc>
        <w:tc>
          <w:tcPr>
            <w:tcW w:w="2101"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1484"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5"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11</w:t>
            </w:r>
          </w:p>
        </w:tc>
        <w:tc>
          <w:tcPr>
            <w:tcW w:w="2100"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网口测试仪</w:t>
            </w:r>
          </w:p>
        </w:tc>
        <w:tc>
          <w:tcPr>
            <w:tcW w:w="2101"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1484"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5"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12</w:t>
            </w:r>
          </w:p>
        </w:tc>
        <w:tc>
          <w:tcPr>
            <w:tcW w:w="2100"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网络压线钳</w:t>
            </w:r>
          </w:p>
        </w:tc>
        <w:tc>
          <w:tcPr>
            <w:tcW w:w="2101"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1484" w:type="dxa"/>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把</w:t>
            </w:r>
          </w:p>
        </w:tc>
      </w:tr>
    </w:tbl>
    <w:p>
      <w:pPr>
        <w:autoSpaceDE w:val="0"/>
        <w:autoSpaceDN w:val="0"/>
        <w:spacing w:line="500" w:lineRule="exact"/>
        <w:ind w:firstLine="480"/>
        <w:rPr>
          <w:rFonts w:ascii="仿宋" w:hAnsi="仿宋" w:cs="Times New Roman"/>
          <w:kern w:val="0"/>
          <w:szCs w:val="24"/>
        </w:rPr>
      </w:pPr>
      <w:r>
        <w:rPr>
          <w:rFonts w:hint="eastAsia" w:ascii="仿宋" w:hAnsi="仿宋" w:cs="Times New Roman"/>
          <w:kern w:val="0"/>
          <w:szCs w:val="24"/>
        </w:rPr>
        <w:t>（三）竞赛材料及耗材清单</w:t>
      </w:r>
    </w:p>
    <w:tbl>
      <w:tblPr>
        <w:tblStyle w:val="8"/>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5"/>
        <w:gridCol w:w="2374"/>
        <w:gridCol w:w="639"/>
        <w:gridCol w:w="1771"/>
        <w:gridCol w:w="1070"/>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vAlign w:val="center"/>
          </w:tcPr>
          <w:p>
            <w:pPr>
              <w:pStyle w:val="4"/>
              <w:kinsoku w:val="0"/>
              <w:overflowPunct w:val="0"/>
              <w:spacing w:line="341" w:lineRule="exact"/>
              <w:ind w:left="0" w:right="3"/>
              <w:jc w:val="center"/>
              <w:rPr>
                <w:rFonts w:ascii="仿宋" w:hAnsi="仿宋" w:eastAsia="仿宋"/>
                <w:b/>
                <w:bCs/>
                <w:sz w:val="21"/>
                <w:szCs w:val="21"/>
              </w:rPr>
            </w:pPr>
            <w:r>
              <w:rPr>
                <w:rFonts w:hint="eastAsia" w:ascii="仿宋" w:hAnsi="仿宋" w:eastAsia="仿宋"/>
                <w:b/>
                <w:bCs/>
                <w:sz w:val="21"/>
                <w:szCs w:val="21"/>
              </w:rPr>
              <w:t>序号</w:t>
            </w:r>
          </w:p>
        </w:tc>
        <w:tc>
          <w:tcPr>
            <w:tcW w:w="2374" w:type="dxa"/>
            <w:vAlign w:val="center"/>
          </w:tcPr>
          <w:p>
            <w:pPr>
              <w:pStyle w:val="4"/>
              <w:kinsoku w:val="0"/>
              <w:overflowPunct w:val="0"/>
              <w:spacing w:line="341" w:lineRule="exact"/>
              <w:ind w:left="0" w:right="3"/>
              <w:jc w:val="center"/>
              <w:rPr>
                <w:rFonts w:ascii="仿宋" w:hAnsi="仿宋" w:eastAsia="仿宋"/>
                <w:b/>
                <w:bCs/>
                <w:sz w:val="21"/>
                <w:szCs w:val="21"/>
              </w:rPr>
            </w:pPr>
            <w:r>
              <w:rPr>
                <w:rFonts w:hint="eastAsia" w:ascii="仿宋" w:hAnsi="仿宋" w:eastAsia="仿宋"/>
                <w:b/>
                <w:bCs/>
                <w:sz w:val="21"/>
                <w:szCs w:val="21"/>
              </w:rPr>
              <w:t>产品名称</w:t>
            </w:r>
          </w:p>
        </w:tc>
        <w:tc>
          <w:tcPr>
            <w:tcW w:w="639" w:type="dxa"/>
            <w:vAlign w:val="center"/>
          </w:tcPr>
          <w:p>
            <w:pPr>
              <w:pStyle w:val="4"/>
              <w:kinsoku w:val="0"/>
              <w:overflowPunct w:val="0"/>
              <w:spacing w:line="341" w:lineRule="exact"/>
              <w:ind w:left="0" w:right="3"/>
              <w:jc w:val="center"/>
              <w:rPr>
                <w:rFonts w:ascii="仿宋" w:hAnsi="仿宋" w:eastAsia="仿宋"/>
                <w:b/>
                <w:bCs/>
                <w:sz w:val="21"/>
                <w:szCs w:val="21"/>
              </w:rPr>
            </w:pPr>
            <w:r>
              <w:rPr>
                <w:rFonts w:hint="eastAsia" w:ascii="仿宋" w:hAnsi="仿宋" w:eastAsia="仿宋"/>
                <w:b/>
                <w:bCs/>
                <w:sz w:val="21"/>
                <w:szCs w:val="21"/>
              </w:rPr>
              <w:t>型号</w:t>
            </w:r>
          </w:p>
        </w:tc>
        <w:tc>
          <w:tcPr>
            <w:tcW w:w="1771" w:type="dxa"/>
            <w:vAlign w:val="center"/>
          </w:tcPr>
          <w:p>
            <w:pPr>
              <w:pStyle w:val="4"/>
              <w:kinsoku w:val="0"/>
              <w:overflowPunct w:val="0"/>
              <w:spacing w:line="341" w:lineRule="exact"/>
              <w:ind w:left="0" w:right="3"/>
              <w:jc w:val="center"/>
              <w:rPr>
                <w:rFonts w:ascii="仿宋" w:hAnsi="仿宋" w:eastAsia="仿宋"/>
                <w:b/>
                <w:bCs/>
                <w:sz w:val="21"/>
                <w:szCs w:val="21"/>
              </w:rPr>
            </w:pPr>
            <w:r>
              <w:rPr>
                <w:rFonts w:hint="eastAsia" w:ascii="仿宋" w:hAnsi="仿宋" w:eastAsia="仿宋"/>
                <w:b/>
                <w:bCs/>
                <w:sz w:val="21"/>
                <w:szCs w:val="21"/>
              </w:rPr>
              <w:t>规格参数</w:t>
            </w:r>
          </w:p>
        </w:tc>
        <w:tc>
          <w:tcPr>
            <w:tcW w:w="1070" w:type="dxa"/>
            <w:vAlign w:val="center"/>
          </w:tcPr>
          <w:p>
            <w:pPr>
              <w:pStyle w:val="4"/>
              <w:kinsoku w:val="0"/>
              <w:overflowPunct w:val="0"/>
              <w:spacing w:line="341" w:lineRule="exact"/>
              <w:ind w:left="0" w:right="3"/>
              <w:jc w:val="center"/>
              <w:rPr>
                <w:rFonts w:ascii="仿宋" w:hAnsi="仿宋" w:eastAsia="仿宋"/>
                <w:b/>
                <w:bCs/>
                <w:sz w:val="21"/>
                <w:szCs w:val="21"/>
              </w:rPr>
            </w:pPr>
            <w:r>
              <w:rPr>
                <w:rFonts w:hint="eastAsia" w:ascii="仿宋" w:hAnsi="仿宋" w:eastAsia="仿宋"/>
                <w:b/>
                <w:bCs/>
                <w:sz w:val="21"/>
                <w:szCs w:val="21"/>
              </w:rPr>
              <w:t>单套用量</w:t>
            </w:r>
          </w:p>
        </w:tc>
        <w:tc>
          <w:tcPr>
            <w:tcW w:w="804" w:type="dxa"/>
            <w:vAlign w:val="center"/>
          </w:tcPr>
          <w:p>
            <w:pPr>
              <w:pStyle w:val="4"/>
              <w:kinsoku w:val="0"/>
              <w:overflowPunct w:val="0"/>
              <w:spacing w:line="341" w:lineRule="exact"/>
              <w:ind w:left="0" w:right="3"/>
              <w:jc w:val="center"/>
              <w:rPr>
                <w:rFonts w:ascii="仿宋" w:hAnsi="仿宋" w:eastAsia="仿宋"/>
                <w:b/>
                <w:bCs/>
                <w:sz w:val="21"/>
                <w:szCs w:val="21"/>
              </w:rPr>
            </w:pPr>
            <w:r>
              <w:rPr>
                <w:rFonts w:hint="eastAsia" w:ascii="仿宋" w:hAnsi="仿宋" w:eastAsia="仿宋"/>
                <w:b/>
                <w:bCs/>
                <w:sz w:val="21"/>
                <w:szCs w:val="21"/>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237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红黑线</w:t>
            </w:r>
          </w:p>
        </w:tc>
        <w:tc>
          <w:tcPr>
            <w:tcW w:w="639" w:type="dxa"/>
            <w:vAlign w:val="center"/>
          </w:tcPr>
          <w:p>
            <w:pPr>
              <w:pStyle w:val="4"/>
              <w:kinsoku w:val="0"/>
              <w:overflowPunct w:val="0"/>
              <w:spacing w:line="341" w:lineRule="exact"/>
              <w:ind w:left="0" w:right="3"/>
              <w:jc w:val="center"/>
              <w:rPr>
                <w:rFonts w:ascii="仿宋" w:hAnsi="仿宋" w:eastAsia="仿宋"/>
                <w:sz w:val="21"/>
                <w:szCs w:val="21"/>
              </w:rPr>
            </w:pPr>
          </w:p>
        </w:tc>
        <w:tc>
          <w:tcPr>
            <w:tcW w:w="1771"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φ0.5mm 红黑线</w:t>
            </w:r>
          </w:p>
        </w:tc>
        <w:tc>
          <w:tcPr>
            <w:tcW w:w="1070"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80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2</w:t>
            </w:r>
          </w:p>
        </w:tc>
        <w:tc>
          <w:tcPr>
            <w:tcW w:w="237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黄色导线</w:t>
            </w:r>
          </w:p>
        </w:tc>
        <w:tc>
          <w:tcPr>
            <w:tcW w:w="639" w:type="dxa"/>
            <w:vAlign w:val="center"/>
          </w:tcPr>
          <w:p>
            <w:pPr>
              <w:pStyle w:val="4"/>
              <w:kinsoku w:val="0"/>
              <w:overflowPunct w:val="0"/>
              <w:spacing w:line="341" w:lineRule="exact"/>
              <w:ind w:left="0" w:right="3"/>
              <w:jc w:val="center"/>
              <w:rPr>
                <w:rFonts w:ascii="仿宋" w:hAnsi="仿宋" w:eastAsia="仿宋"/>
                <w:sz w:val="21"/>
                <w:szCs w:val="21"/>
              </w:rPr>
            </w:pPr>
          </w:p>
        </w:tc>
        <w:tc>
          <w:tcPr>
            <w:tcW w:w="1771"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RV 0.30mm2黄色</w:t>
            </w:r>
          </w:p>
        </w:tc>
        <w:tc>
          <w:tcPr>
            <w:tcW w:w="1070"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80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3</w:t>
            </w:r>
          </w:p>
        </w:tc>
        <w:tc>
          <w:tcPr>
            <w:tcW w:w="237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蓝色导线</w:t>
            </w:r>
          </w:p>
        </w:tc>
        <w:tc>
          <w:tcPr>
            <w:tcW w:w="639" w:type="dxa"/>
            <w:vAlign w:val="center"/>
          </w:tcPr>
          <w:p>
            <w:pPr>
              <w:pStyle w:val="4"/>
              <w:kinsoku w:val="0"/>
              <w:overflowPunct w:val="0"/>
              <w:spacing w:line="341" w:lineRule="exact"/>
              <w:ind w:left="0" w:right="3"/>
              <w:jc w:val="center"/>
              <w:rPr>
                <w:rFonts w:ascii="仿宋" w:hAnsi="仿宋" w:eastAsia="仿宋"/>
                <w:sz w:val="21"/>
                <w:szCs w:val="21"/>
              </w:rPr>
            </w:pPr>
          </w:p>
        </w:tc>
        <w:tc>
          <w:tcPr>
            <w:tcW w:w="1771"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RV 0.30mm2蓝色</w:t>
            </w:r>
          </w:p>
        </w:tc>
        <w:tc>
          <w:tcPr>
            <w:tcW w:w="1070"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80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4</w:t>
            </w:r>
          </w:p>
        </w:tc>
        <w:tc>
          <w:tcPr>
            <w:tcW w:w="237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电工胶/黑色</w:t>
            </w:r>
          </w:p>
        </w:tc>
        <w:tc>
          <w:tcPr>
            <w:tcW w:w="639" w:type="dxa"/>
            <w:vAlign w:val="center"/>
          </w:tcPr>
          <w:p>
            <w:pPr>
              <w:pStyle w:val="4"/>
              <w:kinsoku w:val="0"/>
              <w:overflowPunct w:val="0"/>
              <w:spacing w:line="341" w:lineRule="exact"/>
              <w:ind w:left="0" w:right="3"/>
              <w:jc w:val="center"/>
              <w:rPr>
                <w:rFonts w:ascii="仿宋" w:hAnsi="仿宋" w:eastAsia="仿宋"/>
                <w:sz w:val="21"/>
                <w:szCs w:val="21"/>
              </w:rPr>
            </w:pPr>
          </w:p>
        </w:tc>
        <w:tc>
          <w:tcPr>
            <w:tcW w:w="1771" w:type="dxa"/>
            <w:vAlign w:val="center"/>
          </w:tcPr>
          <w:p>
            <w:pPr>
              <w:pStyle w:val="4"/>
              <w:kinsoku w:val="0"/>
              <w:overflowPunct w:val="0"/>
              <w:spacing w:line="341" w:lineRule="exact"/>
              <w:ind w:left="0" w:right="3"/>
              <w:jc w:val="center"/>
              <w:rPr>
                <w:rFonts w:ascii="仿宋" w:hAnsi="仿宋" w:eastAsia="仿宋"/>
                <w:sz w:val="21"/>
                <w:szCs w:val="21"/>
              </w:rPr>
            </w:pPr>
          </w:p>
        </w:tc>
        <w:tc>
          <w:tcPr>
            <w:tcW w:w="1070"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80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5</w:t>
            </w:r>
          </w:p>
        </w:tc>
        <w:tc>
          <w:tcPr>
            <w:tcW w:w="237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不锈钢 半圆头机牙螺 丝</w:t>
            </w:r>
          </w:p>
        </w:tc>
        <w:tc>
          <w:tcPr>
            <w:tcW w:w="639" w:type="dxa"/>
            <w:vAlign w:val="center"/>
          </w:tcPr>
          <w:p>
            <w:pPr>
              <w:pStyle w:val="4"/>
              <w:kinsoku w:val="0"/>
              <w:overflowPunct w:val="0"/>
              <w:spacing w:line="341" w:lineRule="exact"/>
              <w:ind w:left="0" w:right="3"/>
              <w:jc w:val="center"/>
              <w:rPr>
                <w:rFonts w:ascii="仿宋" w:hAnsi="仿宋" w:eastAsia="仿宋"/>
                <w:sz w:val="21"/>
                <w:szCs w:val="21"/>
              </w:rPr>
            </w:pPr>
          </w:p>
        </w:tc>
        <w:tc>
          <w:tcPr>
            <w:tcW w:w="1771"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M4*30</w:t>
            </w:r>
          </w:p>
        </w:tc>
        <w:tc>
          <w:tcPr>
            <w:tcW w:w="1070"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80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6</w:t>
            </w:r>
          </w:p>
        </w:tc>
        <w:tc>
          <w:tcPr>
            <w:tcW w:w="237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不锈钢 螺丝平华司</w:t>
            </w:r>
          </w:p>
        </w:tc>
        <w:tc>
          <w:tcPr>
            <w:tcW w:w="639" w:type="dxa"/>
            <w:vAlign w:val="center"/>
          </w:tcPr>
          <w:p>
            <w:pPr>
              <w:pStyle w:val="4"/>
              <w:kinsoku w:val="0"/>
              <w:overflowPunct w:val="0"/>
              <w:spacing w:line="341" w:lineRule="exact"/>
              <w:ind w:left="0" w:right="3"/>
              <w:jc w:val="center"/>
              <w:rPr>
                <w:rFonts w:ascii="仿宋" w:hAnsi="仿宋" w:eastAsia="仿宋"/>
                <w:sz w:val="21"/>
                <w:szCs w:val="21"/>
              </w:rPr>
            </w:pPr>
          </w:p>
        </w:tc>
        <w:tc>
          <w:tcPr>
            <w:tcW w:w="1771"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M3*10*1</w:t>
            </w:r>
          </w:p>
        </w:tc>
        <w:tc>
          <w:tcPr>
            <w:tcW w:w="1070"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80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7</w:t>
            </w:r>
          </w:p>
        </w:tc>
        <w:tc>
          <w:tcPr>
            <w:tcW w:w="237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碳钢 螺母</w:t>
            </w:r>
          </w:p>
        </w:tc>
        <w:tc>
          <w:tcPr>
            <w:tcW w:w="639" w:type="dxa"/>
            <w:vAlign w:val="center"/>
          </w:tcPr>
          <w:p>
            <w:pPr>
              <w:pStyle w:val="4"/>
              <w:kinsoku w:val="0"/>
              <w:overflowPunct w:val="0"/>
              <w:spacing w:line="341" w:lineRule="exact"/>
              <w:ind w:left="0" w:right="3"/>
              <w:jc w:val="center"/>
              <w:rPr>
                <w:rFonts w:ascii="仿宋" w:hAnsi="仿宋" w:eastAsia="仿宋"/>
                <w:sz w:val="21"/>
                <w:szCs w:val="21"/>
              </w:rPr>
            </w:pPr>
          </w:p>
        </w:tc>
        <w:tc>
          <w:tcPr>
            <w:tcW w:w="1771"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M3</w:t>
            </w:r>
          </w:p>
        </w:tc>
        <w:tc>
          <w:tcPr>
            <w:tcW w:w="1070"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80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8</w:t>
            </w:r>
          </w:p>
        </w:tc>
        <w:tc>
          <w:tcPr>
            <w:tcW w:w="237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不锈钢 半圆头机牙螺 丝</w:t>
            </w:r>
          </w:p>
        </w:tc>
        <w:tc>
          <w:tcPr>
            <w:tcW w:w="639" w:type="dxa"/>
            <w:vAlign w:val="center"/>
          </w:tcPr>
          <w:p>
            <w:pPr>
              <w:pStyle w:val="4"/>
              <w:kinsoku w:val="0"/>
              <w:overflowPunct w:val="0"/>
              <w:spacing w:line="341" w:lineRule="exact"/>
              <w:ind w:left="0" w:right="3"/>
              <w:jc w:val="center"/>
              <w:rPr>
                <w:rFonts w:ascii="仿宋" w:hAnsi="仿宋" w:eastAsia="仿宋"/>
                <w:sz w:val="21"/>
                <w:szCs w:val="21"/>
              </w:rPr>
            </w:pPr>
          </w:p>
        </w:tc>
        <w:tc>
          <w:tcPr>
            <w:tcW w:w="1771"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M4*10</w:t>
            </w:r>
          </w:p>
        </w:tc>
        <w:tc>
          <w:tcPr>
            <w:tcW w:w="1070"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80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9</w:t>
            </w:r>
          </w:p>
        </w:tc>
        <w:tc>
          <w:tcPr>
            <w:tcW w:w="237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不锈钢 垫片</w:t>
            </w:r>
          </w:p>
        </w:tc>
        <w:tc>
          <w:tcPr>
            <w:tcW w:w="639" w:type="dxa"/>
            <w:vAlign w:val="center"/>
          </w:tcPr>
          <w:p>
            <w:pPr>
              <w:pStyle w:val="4"/>
              <w:kinsoku w:val="0"/>
              <w:overflowPunct w:val="0"/>
              <w:spacing w:line="341" w:lineRule="exact"/>
              <w:ind w:left="0" w:right="3"/>
              <w:jc w:val="center"/>
              <w:rPr>
                <w:rFonts w:ascii="仿宋" w:hAnsi="仿宋" w:eastAsia="仿宋"/>
                <w:sz w:val="21"/>
                <w:szCs w:val="21"/>
              </w:rPr>
            </w:pPr>
          </w:p>
        </w:tc>
        <w:tc>
          <w:tcPr>
            <w:tcW w:w="1771"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M4*10*1</w:t>
            </w:r>
          </w:p>
        </w:tc>
        <w:tc>
          <w:tcPr>
            <w:tcW w:w="1070"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80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10</w:t>
            </w:r>
          </w:p>
        </w:tc>
        <w:tc>
          <w:tcPr>
            <w:tcW w:w="237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不锈钢 螺母</w:t>
            </w:r>
          </w:p>
        </w:tc>
        <w:tc>
          <w:tcPr>
            <w:tcW w:w="639" w:type="dxa"/>
            <w:vAlign w:val="center"/>
          </w:tcPr>
          <w:p>
            <w:pPr>
              <w:pStyle w:val="4"/>
              <w:kinsoku w:val="0"/>
              <w:overflowPunct w:val="0"/>
              <w:spacing w:line="341" w:lineRule="exact"/>
              <w:ind w:left="0" w:right="3"/>
              <w:jc w:val="center"/>
              <w:rPr>
                <w:rFonts w:ascii="仿宋" w:hAnsi="仿宋" w:eastAsia="仿宋"/>
                <w:sz w:val="21"/>
                <w:szCs w:val="21"/>
              </w:rPr>
            </w:pPr>
          </w:p>
        </w:tc>
        <w:tc>
          <w:tcPr>
            <w:tcW w:w="1771"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M4</w:t>
            </w:r>
          </w:p>
        </w:tc>
        <w:tc>
          <w:tcPr>
            <w:tcW w:w="1070"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80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11</w:t>
            </w:r>
          </w:p>
        </w:tc>
        <w:tc>
          <w:tcPr>
            <w:tcW w:w="237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不锈钢十字盘头螺丝</w:t>
            </w:r>
          </w:p>
        </w:tc>
        <w:tc>
          <w:tcPr>
            <w:tcW w:w="639" w:type="dxa"/>
            <w:vAlign w:val="center"/>
          </w:tcPr>
          <w:p>
            <w:pPr>
              <w:pStyle w:val="4"/>
              <w:kinsoku w:val="0"/>
              <w:overflowPunct w:val="0"/>
              <w:spacing w:line="341" w:lineRule="exact"/>
              <w:ind w:left="0" w:right="3"/>
              <w:jc w:val="center"/>
              <w:rPr>
                <w:rFonts w:ascii="仿宋" w:hAnsi="仿宋" w:eastAsia="仿宋"/>
                <w:sz w:val="21"/>
                <w:szCs w:val="21"/>
              </w:rPr>
            </w:pPr>
          </w:p>
        </w:tc>
        <w:tc>
          <w:tcPr>
            <w:tcW w:w="1771"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M3X6</w:t>
            </w:r>
          </w:p>
        </w:tc>
        <w:tc>
          <w:tcPr>
            <w:tcW w:w="1070"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80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12</w:t>
            </w:r>
          </w:p>
        </w:tc>
        <w:tc>
          <w:tcPr>
            <w:tcW w:w="237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不锈钢十字盘头螺丝</w:t>
            </w:r>
          </w:p>
        </w:tc>
        <w:tc>
          <w:tcPr>
            <w:tcW w:w="639" w:type="dxa"/>
            <w:vAlign w:val="center"/>
          </w:tcPr>
          <w:p>
            <w:pPr>
              <w:pStyle w:val="4"/>
              <w:kinsoku w:val="0"/>
              <w:overflowPunct w:val="0"/>
              <w:spacing w:line="341" w:lineRule="exact"/>
              <w:ind w:left="0" w:right="3"/>
              <w:jc w:val="center"/>
              <w:rPr>
                <w:rFonts w:ascii="仿宋" w:hAnsi="仿宋" w:eastAsia="仿宋"/>
                <w:sz w:val="21"/>
                <w:szCs w:val="21"/>
              </w:rPr>
            </w:pPr>
          </w:p>
        </w:tc>
        <w:tc>
          <w:tcPr>
            <w:tcW w:w="1771"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M4X16</w:t>
            </w:r>
          </w:p>
        </w:tc>
        <w:tc>
          <w:tcPr>
            <w:tcW w:w="1070"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80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13</w:t>
            </w:r>
          </w:p>
        </w:tc>
        <w:tc>
          <w:tcPr>
            <w:tcW w:w="237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线扎</w:t>
            </w:r>
          </w:p>
        </w:tc>
        <w:tc>
          <w:tcPr>
            <w:tcW w:w="639" w:type="dxa"/>
            <w:vAlign w:val="center"/>
          </w:tcPr>
          <w:p>
            <w:pPr>
              <w:pStyle w:val="4"/>
              <w:kinsoku w:val="0"/>
              <w:overflowPunct w:val="0"/>
              <w:spacing w:line="341" w:lineRule="exact"/>
              <w:ind w:left="0" w:right="3"/>
              <w:jc w:val="center"/>
              <w:rPr>
                <w:rFonts w:ascii="仿宋" w:hAnsi="仿宋" w:eastAsia="仿宋"/>
                <w:sz w:val="21"/>
                <w:szCs w:val="21"/>
              </w:rPr>
            </w:pPr>
          </w:p>
        </w:tc>
        <w:tc>
          <w:tcPr>
            <w:tcW w:w="1771"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3X120MM</w:t>
            </w:r>
          </w:p>
        </w:tc>
        <w:tc>
          <w:tcPr>
            <w:tcW w:w="1070"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80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14</w:t>
            </w:r>
          </w:p>
        </w:tc>
        <w:tc>
          <w:tcPr>
            <w:tcW w:w="237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压线帽</w:t>
            </w:r>
          </w:p>
        </w:tc>
        <w:tc>
          <w:tcPr>
            <w:tcW w:w="639" w:type="dxa"/>
            <w:vAlign w:val="center"/>
          </w:tcPr>
          <w:p>
            <w:pPr>
              <w:pStyle w:val="4"/>
              <w:kinsoku w:val="0"/>
              <w:overflowPunct w:val="0"/>
              <w:spacing w:line="341" w:lineRule="exact"/>
              <w:ind w:left="0" w:right="3"/>
              <w:jc w:val="center"/>
              <w:rPr>
                <w:rFonts w:ascii="仿宋" w:hAnsi="仿宋" w:eastAsia="仿宋"/>
                <w:sz w:val="21"/>
                <w:szCs w:val="21"/>
              </w:rPr>
            </w:pPr>
          </w:p>
        </w:tc>
        <w:tc>
          <w:tcPr>
            <w:tcW w:w="1771" w:type="dxa"/>
            <w:vAlign w:val="center"/>
          </w:tcPr>
          <w:p>
            <w:pPr>
              <w:pStyle w:val="4"/>
              <w:kinsoku w:val="0"/>
              <w:overflowPunct w:val="0"/>
              <w:spacing w:line="341" w:lineRule="exact"/>
              <w:ind w:left="0" w:right="3"/>
              <w:jc w:val="center"/>
              <w:rPr>
                <w:rFonts w:ascii="仿宋" w:hAnsi="仿宋" w:eastAsia="仿宋"/>
                <w:sz w:val="21"/>
                <w:szCs w:val="21"/>
              </w:rPr>
            </w:pPr>
          </w:p>
        </w:tc>
        <w:tc>
          <w:tcPr>
            <w:tcW w:w="1070"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80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15</w:t>
            </w:r>
          </w:p>
        </w:tc>
        <w:tc>
          <w:tcPr>
            <w:tcW w:w="237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碳钢 十字盘头螺丝</w:t>
            </w:r>
          </w:p>
        </w:tc>
        <w:tc>
          <w:tcPr>
            <w:tcW w:w="639" w:type="dxa"/>
            <w:vAlign w:val="center"/>
          </w:tcPr>
          <w:p>
            <w:pPr>
              <w:pStyle w:val="4"/>
              <w:kinsoku w:val="0"/>
              <w:overflowPunct w:val="0"/>
              <w:spacing w:line="341" w:lineRule="exact"/>
              <w:ind w:left="0" w:right="3"/>
              <w:jc w:val="center"/>
              <w:rPr>
                <w:rFonts w:ascii="仿宋" w:hAnsi="仿宋" w:eastAsia="仿宋"/>
                <w:sz w:val="21"/>
                <w:szCs w:val="21"/>
              </w:rPr>
            </w:pPr>
          </w:p>
        </w:tc>
        <w:tc>
          <w:tcPr>
            <w:tcW w:w="1771"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M3X14</w:t>
            </w:r>
          </w:p>
        </w:tc>
        <w:tc>
          <w:tcPr>
            <w:tcW w:w="1070"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80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16</w:t>
            </w:r>
          </w:p>
        </w:tc>
        <w:tc>
          <w:tcPr>
            <w:tcW w:w="237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无线射频IC卡（非接触式IC卡Ｍ</w:t>
            </w:r>
          </w:p>
        </w:tc>
        <w:tc>
          <w:tcPr>
            <w:tcW w:w="639" w:type="dxa"/>
            <w:vAlign w:val="center"/>
          </w:tcPr>
          <w:p>
            <w:pPr>
              <w:pStyle w:val="4"/>
              <w:kinsoku w:val="0"/>
              <w:overflowPunct w:val="0"/>
              <w:spacing w:line="341" w:lineRule="exact"/>
              <w:ind w:left="0" w:right="3"/>
              <w:jc w:val="center"/>
              <w:rPr>
                <w:rFonts w:ascii="仿宋" w:hAnsi="仿宋" w:eastAsia="仿宋"/>
                <w:sz w:val="21"/>
                <w:szCs w:val="21"/>
              </w:rPr>
            </w:pPr>
          </w:p>
        </w:tc>
        <w:tc>
          <w:tcPr>
            <w:tcW w:w="1771"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1070"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套</w:t>
            </w:r>
          </w:p>
        </w:tc>
        <w:tc>
          <w:tcPr>
            <w:tcW w:w="804" w:type="dxa"/>
            <w:vAlign w:val="center"/>
          </w:tcPr>
          <w:p>
            <w:pPr>
              <w:pStyle w:val="4"/>
              <w:kinsoku w:val="0"/>
              <w:overflowPunct w:val="0"/>
              <w:spacing w:line="341" w:lineRule="exact"/>
              <w:ind w:left="0" w:right="3"/>
              <w:jc w:val="center"/>
              <w:rPr>
                <w:rFonts w:ascii="仿宋" w:hAnsi="仿宋"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17</w:t>
            </w:r>
          </w:p>
        </w:tc>
        <w:tc>
          <w:tcPr>
            <w:tcW w:w="237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收银纸(高敏纸)</w:t>
            </w:r>
          </w:p>
        </w:tc>
        <w:tc>
          <w:tcPr>
            <w:tcW w:w="639" w:type="dxa"/>
            <w:vAlign w:val="center"/>
          </w:tcPr>
          <w:p>
            <w:pPr>
              <w:pStyle w:val="4"/>
              <w:kinsoku w:val="0"/>
              <w:overflowPunct w:val="0"/>
              <w:spacing w:line="341" w:lineRule="exact"/>
              <w:ind w:left="0" w:right="3"/>
              <w:jc w:val="center"/>
              <w:rPr>
                <w:rFonts w:ascii="仿宋" w:hAnsi="仿宋" w:eastAsia="仿宋"/>
                <w:sz w:val="21"/>
                <w:szCs w:val="21"/>
              </w:rPr>
            </w:pPr>
          </w:p>
        </w:tc>
        <w:tc>
          <w:tcPr>
            <w:tcW w:w="1771"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热敏</w:t>
            </w:r>
          </w:p>
        </w:tc>
        <w:tc>
          <w:tcPr>
            <w:tcW w:w="1070"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80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18</w:t>
            </w:r>
          </w:p>
        </w:tc>
        <w:tc>
          <w:tcPr>
            <w:tcW w:w="237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不干胶电子标签</w:t>
            </w:r>
          </w:p>
        </w:tc>
        <w:tc>
          <w:tcPr>
            <w:tcW w:w="639" w:type="dxa"/>
            <w:vAlign w:val="center"/>
          </w:tcPr>
          <w:p>
            <w:pPr>
              <w:pStyle w:val="4"/>
              <w:kinsoku w:val="0"/>
              <w:overflowPunct w:val="0"/>
              <w:spacing w:line="341" w:lineRule="exact"/>
              <w:ind w:left="0" w:right="3"/>
              <w:jc w:val="center"/>
              <w:rPr>
                <w:rFonts w:ascii="仿宋" w:hAnsi="仿宋" w:eastAsia="仿宋"/>
                <w:sz w:val="21"/>
                <w:szCs w:val="21"/>
              </w:rPr>
            </w:pPr>
          </w:p>
        </w:tc>
        <w:tc>
          <w:tcPr>
            <w:tcW w:w="1771"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70*23mm</w:t>
            </w:r>
          </w:p>
        </w:tc>
        <w:tc>
          <w:tcPr>
            <w:tcW w:w="1070"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80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19</w:t>
            </w:r>
          </w:p>
        </w:tc>
        <w:tc>
          <w:tcPr>
            <w:tcW w:w="237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六角铜柱</w:t>
            </w:r>
          </w:p>
        </w:tc>
        <w:tc>
          <w:tcPr>
            <w:tcW w:w="639" w:type="dxa"/>
            <w:vAlign w:val="center"/>
          </w:tcPr>
          <w:p>
            <w:pPr>
              <w:pStyle w:val="4"/>
              <w:kinsoku w:val="0"/>
              <w:overflowPunct w:val="0"/>
              <w:spacing w:line="341" w:lineRule="exact"/>
              <w:ind w:left="0" w:right="3"/>
              <w:jc w:val="center"/>
              <w:rPr>
                <w:rFonts w:ascii="仿宋" w:hAnsi="仿宋" w:eastAsia="仿宋"/>
                <w:sz w:val="21"/>
                <w:szCs w:val="21"/>
              </w:rPr>
            </w:pPr>
          </w:p>
        </w:tc>
        <w:tc>
          <w:tcPr>
            <w:tcW w:w="1771"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M3*11</w:t>
            </w:r>
          </w:p>
        </w:tc>
        <w:tc>
          <w:tcPr>
            <w:tcW w:w="1070"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80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20</w:t>
            </w:r>
          </w:p>
        </w:tc>
        <w:tc>
          <w:tcPr>
            <w:tcW w:w="237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网线</w:t>
            </w:r>
          </w:p>
        </w:tc>
        <w:tc>
          <w:tcPr>
            <w:tcW w:w="639" w:type="dxa"/>
            <w:vAlign w:val="center"/>
          </w:tcPr>
          <w:p>
            <w:pPr>
              <w:pStyle w:val="4"/>
              <w:kinsoku w:val="0"/>
              <w:overflowPunct w:val="0"/>
              <w:spacing w:line="341" w:lineRule="exact"/>
              <w:ind w:left="0" w:right="3"/>
              <w:jc w:val="center"/>
              <w:rPr>
                <w:rFonts w:ascii="仿宋" w:hAnsi="仿宋" w:eastAsia="仿宋"/>
                <w:sz w:val="21"/>
                <w:szCs w:val="21"/>
              </w:rPr>
            </w:pPr>
          </w:p>
        </w:tc>
        <w:tc>
          <w:tcPr>
            <w:tcW w:w="1771"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线长3米</w:t>
            </w:r>
          </w:p>
        </w:tc>
        <w:tc>
          <w:tcPr>
            <w:tcW w:w="1070"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80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21</w:t>
            </w:r>
          </w:p>
        </w:tc>
        <w:tc>
          <w:tcPr>
            <w:tcW w:w="237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网线</w:t>
            </w:r>
          </w:p>
        </w:tc>
        <w:tc>
          <w:tcPr>
            <w:tcW w:w="639" w:type="dxa"/>
            <w:vAlign w:val="center"/>
          </w:tcPr>
          <w:p>
            <w:pPr>
              <w:pStyle w:val="4"/>
              <w:kinsoku w:val="0"/>
              <w:overflowPunct w:val="0"/>
              <w:spacing w:line="341" w:lineRule="exact"/>
              <w:ind w:left="0" w:right="3"/>
              <w:jc w:val="center"/>
              <w:rPr>
                <w:rFonts w:ascii="仿宋" w:hAnsi="仿宋" w:eastAsia="仿宋"/>
                <w:sz w:val="21"/>
                <w:szCs w:val="21"/>
              </w:rPr>
            </w:pPr>
          </w:p>
        </w:tc>
        <w:tc>
          <w:tcPr>
            <w:tcW w:w="1771"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线长5米</w:t>
            </w:r>
          </w:p>
        </w:tc>
        <w:tc>
          <w:tcPr>
            <w:tcW w:w="1070"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80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22</w:t>
            </w:r>
          </w:p>
        </w:tc>
        <w:tc>
          <w:tcPr>
            <w:tcW w:w="237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插拔式转接头</w:t>
            </w:r>
          </w:p>
        </w:tc>
        <w:tc>
          <w:tcPr>
            <w:tcW w:w="639" w:type="dxa"/>
            <w:vAlign w:val="center"/>
          </w:tcPr>
          <w:p>
            <w:pPr>
              <w:pStyle w:val="4"/>
              <w:kinsoku w:val="0"/>
              <w:overflowPunct w:val="0"/>
              <w:spacing w:line="341" w:lineRule="exact"/>
              <w:ind w:left="0" w:right="3"/>
              <w:jc w:val="center"/>
              <w:rPr>
                <w:rFonts w:ascii="仿宋" w:hAnsi="仿宋" w:eastAsia="仿宋"/>
                <w:sz w:val="21"/>
                <w:szCs w:val="21"/>
              </w:rPr>
            </w:pPr>
          </w:p>
        </w:tc>
        <w:tc>
          <w:tcPr>
            <w:tcW w:w="1771" w:type="dxa"/>
            <w:vAlign w:val="center"/>
          </w:tcPr>
          <w:p>
            <w:pPr>
              <w:pStyle w:val="4"/>
              <w:kinsoku w:val="0"/>
              <w:overflowPunct w:val="0"/>
              <w:spacing w:line="341" w:lineRule="exact"/>
              <w:ind w:left="0" w:right="3"/>
              <w:jc w:val="center"/>
              <w:rPr>
                <w:rFonts w:ascii="仿宋" w:hAnsi="仿宋" w:eastAsia="仿宋"/>
                <w:sz w:val="21"/>
                <w:szCs w:val="21"/>
              </w:rPr>
            </w:pPr>
          </w:p>
        </w:tc>
        <w:tc>
          <w:tcPr>
            <w:tcW w:w="1070"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80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23</w:t>
            </w:r>
          </w:p>
        </w:tc>
        <w:tc>
          <w:tcPr>
            <w:tcW w:w="237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摄像机螺丝</w:t>
            </w:r>
          </w:p>
        </w:tc>
        <w:tc>
          <w:tcPr>
            <w:tcW w:w="639" w:type="dxa"/>
            <w:vAlign w:val="center"/>
          </w:tcPr>
          <w:p>
            <w:pPr>
              <w:pStyle w:val="4"/>
              <w:kinsoku w:val="0"/>
              <w:overflowPunct w:val="0"/>
              <w:spacing w:line="341" w:lineRule="exact"/>
              <w:ind w:left="0" w:right="3"/>
              <w:jc w:val="center"/>
              <w:rPr>
                <w:rFonts w:ascii="仿宋" w:hAnsi="仿宋" w:eastAsia="仿宋"/>
                <w:sz w:val="21"/>
                <w:szCs w:val="21"/>
              </w:rPr>
            </w:pPr>
          </w:p>
        </w:tc>
        <w:tc>
          <w:tcPr>
            <w:tcW w:w="1771" w:type="dxa"/>
            <w:vAlign w:val="center"/>
          </w:tcPr>
          <w:p>
            <w:pPr>
              <w:pStyle w:val="4"/>
              <w:kinsoku w:val="0"/>
              <w:overflowPunct w:val="0"/>
              <w:spacing w:line="341" w:lineRule="exact"/>
              <w:ind w:left="0" w:right="3"/>
              <w:jc w:val="center"/>
              <w:rPr>
                <w:rFonts w:ascii="仿宋" w:hAnsi="仿宋" w:eastAsia="仿宋"/>
                <w:sz w:val="21"/>
                <w:szCs w:val="21"/>
              </w:rPr>
            </w:pPr>
          </w:p>
        </w:tc>
        <w:tc>
          <w:tcPr>
            <w:tcW w:w="1070"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80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24</w:t>
            </w:r>
          </w:p>
        </w:tc>
        <w:tc>
          <w:tcPr>
            <w:tcW w:w="237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UHF射频读写器支架固 定螺丝</w:t>
            </w:r>
          </w:p>
        </w:tc>
        <w:tc>
          <w:tcPr>
            <w:tcW w:w="639" w:type="dxa"/>
            <w:vAlign w:val="center"/>
          </w:tcPr>
          <w:p>
            <w:pPr>
              <w:pStyle w:val="4"/>
              <w:kinsoku w:val="0"/>
              <w:overflowPunct w:val="0"/>
              <w:spacing w:line="341" w:lineRule="exact"/>
              <w:ind w:left="0" w:right="3"/>
              <w:jc w:val="center"/>
              <w:rPr>
                <w:rFonts w:ascii="仿宋" w:hAnsi="仿宋" w:eastAsia="仿宋"/>
                <w:sz w:val="21"/>
                <w:szCs w:val="21"/>
              </w:rPr>
            </w:pPr>
          </w:p>
        </w:tc>
        <w:tc>
          <w:tcPr>
            <w:tcW w:w="1771" w:type="dxa"/>
            <w:vAlign w:val="center"/>
          </w:tcPr>
          <w:p>
            <w:pPr>
              <w:pStyle w:val="4"/>
              <w:kinsoku w:val="0"/>
              <w:overflowPunct w:val="0"/>
              <w:spacing w:line="341" w:lineRule="exact"/>
              <w:ind w:left="0" w:right="3"/>
              <w:jc w:val="center"/>
              <w:rPr>
                <w:rFonts w:ascii="仿宋" w:hAnsi="仿宋" w:eastAsia="仿宋"/>
                <w:sz w:val="21"/>
                <w:szCs w:val="21"/>
              </w:rPr>
            </w:pPr>
          </w:p>
        </w:tc>
        <w:tc>
          <w:tcPr>
            <w:tcW w:w="1070"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80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25</w:t>
            </w:r>
          </w:p>
        </w:tc>
        <w:tc>
          <w:tcPr>
            <w:tcW w:w="237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杜邦线</w:t>
            </w:r>
          </w:p>
        </w:tc>
        <w:tc>
          <w:tcPr>
            <w:tcW w:w="639" w:type="dxa"/>
            <w:vAlign w:val="center"/>
          </w:tcPr>
          <w:p>
            <w:pPr>
              <w:pStyle w:val="4"/>
              <w:kinsoku w:val="0"/>
              <w:overflowPunct w:val="0"/>
              <w:spacing w:line="341" w:lineRule="exact"/>
              <w:ind w:left="0" w:right="3"/>
              <w:jc w:val="center"/>
              <w:rPr>
                <w:rFonts w:ascii="仿宋" w:hAnsi="仿宋" w:eastAsia="仿宋"/>
                <w:sz w:val="21"/>
                <w:szCs w:val="21"/>
              </w:rPr>
            </w:pPr>
          </w:p>
        </w:tc>
        <w:tc>
          <w:tcPr>
            <w:tcW w:w="1771"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母对母 21cm</w:t>
            </w:r>
          </w:p>
        </w:tc>
        <w:tc>
          <w:tcPr>
            <w:tcW w:w="1070"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80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26</w:t>
            </w:r>
          </w:p>
        </w:tc>
        <w:tc>
          <w:tcPr>
            <w:tcW w:w="237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插拔式接线端子</w:t>
            </w:r>
          </w:p>
        </w:tc>
        <w:tc>
          <w:tcPr>
            <w:tcW w:w="639" w:type="dxa"/>
            <w:vAlign w:val="center"/>
          </w:tcPr>
          <w:p>
            <w:pPr>
              <w:pStyle w:val="4"/>
              <w:kinsoku w:val="0"/>
              <w:overflowPunct w:val="0"/>
              <w:spacing w:line="341" w:lineRule="exact"/>
              <w:ind w:left="0" w:right="3"/>
              <w:jc w:val="center"/>
              <w:rPr>
                <w:rFonts w:ascii="仿宋" w:hAnsi="仿宋" w:eastAsia="仿宋"/>
                <w:sz w:val="21"/>
                <w:szCs w:val="21"/>
              </w:rPr>
            </w:pPr>
          </w:p>
        </w:tc>
        <w:tc>
          <w:tcPr>
            <w:tcW w:w="1771" w:type="dxa"/>
            <w:vAlign w:val="center"/>
          </w:tcPr>
          <w:p>
            <w:pPr>
              <w:pStyle w:val="4"/>
              <w:kinsoku w:val="0"/>
              <w:overflowPunct w:val="0"/>
              <w:spacing w:line="341" w:lineRule="exact"/>
              <w:ind w:left="0" w:right="3"/>
              <w:jc w:val="center"/>
              <w:rPr>
                <w:rFonts w:ascii="仿宋" w:hAnsi="仿宋" w:eastAsia="仿宋"/>
                <w:sz w:val="21"/>
                <w:szCs w:val="21"/>
              </w:rPr>
            </w:pPr>
          </w:p>
        </w:tc>
        <w:tc>
          <w:tcPr>
            <w:tcW w:w="1070"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80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27</w:t>
            </w:r>
          </w:p>
        </w:tc>
        <w:tc>
          <w:tcPr>
            <w:tcW w:w="237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网线</w:t>
            </w:r>
          </w:p>
        </w:tc>
        <w:tc>
          <w:tcPr>
            <w:tcW w:w="639"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五类百兆双绞8P</w:t>
            </w:r>
          </w:p>
        </w:tc>
        <w:tc>
          <w:tcPr>
            <w:tcW w:w="1771"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适合手工加工的单股 线</w:t>
            </w:r>
          </w:p>
        </w:tc>
        <w:tc>
          <w:tcPr>
            <w:tcW w:w="1070"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80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28</w:t>
            </w:r>
          </w:p>
        </w:tc>
        <w:tc>
          <w:tcPr>
            <w:tcW w:w="237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网络水晶头</w:t>
            </w:r>
          </w:p>
        </w:tc>
        <w:tc>
          <w:tcPr>
            <w:tcW w:w="639"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8P  RJ45</w:t>
            </w:r>
          </w:p>
        </w:tc>
        <w:tc>
          <w:tcPr>
            <w:tcW w:w="1771"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适合手工加工的网络 水晶头</w:t>
            </w:r>
          </w:p>
        </w:tc>
        <w:tc>
          <w:tcPr>
            <w:tcW w:w="1070"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1</w:t>
            </w:r>
          </w:p>
        </w:tc>
        <w:tc>
          <w:tcPr>
            <w:tcW w:w="804" w:type="dxa"/>
            <w:vAlign w:val="center"/>
          </w:tcPr>
          <w:p>
            <w:pPr>
              <w:pStyle w:val="4"/>
              <w:kinsoku w:val="0"/>
              <w:overflowPunct w:val="0"/>
              <w:spacing w:line="341" w:lineRule="exact"/>
              <w:ind w:left="0" w:right="3"/>
              <w:jc w:val="center"/>
              <w:rPr>
                <w:rFonts w:ascii="仿宋" w:hAnsi="仿宋" w:eastAsia="仿宋"/>
                <w:sz w:val="21"/>
                <w:szCs w:val="21"/>
              </w:rPr>
            </w:pPr>
            <w:r>
              <w:rPr>
                <w:rFonts w:hint="eastAsia" w:ascii="仿宋" w:hAnsi="仿宋" w:eastAsia="仿宋"/>
                <w:sz w:val="21"/>
                <w:szCs w:val="21"/>
              </w:rPr>
              <w:t>套</w:t>
            </w:r>
          </w:p>
        </w:tc>
      </w:tr>
    </w:tbl>
    <w:p>
      <w:pPr>
        <w:autoSpaceDE w:val="0"/>
        <w:autoSpaceDN w:val="0"/>
        <w:spacing w:line="500" w:lineRule="exact"/>
        <w:ind w:firstLine="480"/>
        <w:rPr>
          <w:rFonts w:ascii="仿宋" w:hAnsi="仿宋" w:cs="Times New Roman"/>
          <w:kern w:val="0"/>
          <w:szCs w:val="24"/>
        </w:rPr>
      </w:pPr>
      <w:r>
        <w:rPr>
          <w:rFonts w:hint="eastAsia" w:ascii="仿宋" w:hAnsi="仿宋" w:cs="Times New Roman"/>
          <w:kern w:val="0"/>
          <w:szCs w:val="24"/>
        </w:rPr>
        <w:t>（四）竞赛用软件清单</w:t>
      </w:r>
    </w:p>
    <w:p>
      <w:pPr>
        <w:ind w:firstLine="480"/>
        <w:rPr>
          <w:bCs/>
        </w:rPr>
      </w:pPr>
      <w:r>
        <w:rPr>
          <w:rFonts w:ascii="仿宋" w:hAnsi="仿宋" w:cs="Times New Roman"/>
          <w:kern w:val="0"/>
          <w:szCs w:val="24"/>
        </w:rPr>
        <w:tab/>
      </w:r>
      <w:r>
        <w:rPr>
          <w:rFonts w:hint="eastAsia"/>
          <w:bCs/>
        </w:rPr>
        <w:t>个人计算机配备不低于以下版本的软件：</w:t>
      </w:r>
    </w:p>
    <w:tbl>
      <w:tblPr>
        <w:tblStyle w:val="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9"/>
        <w:gridCol w:w="709"/>
        <w:gridCol w:w="5279"/>
        <w:gridCol w:w="7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7" w:hRule="exact"/>
          <w:jc w:val="center"/>
        </w:trPr>
        <w:tc>
          <w:tcPr>
            <w:tcW w:w="709" w:type="dxa"/>
            <w:vAlign w:val="center"/>
          </w:tcPr>
          <w:p>
            <w:pPr>
              <w:spacing w:line="240" w:lineRule="auto"/>
              <w:ind w:firstLine="0" w:firstLineChars="0"/>
              <w:jc w:val="center"/>
              <w:rPr>
                <w:rFonts w:ascii="仿宋" w:hAnsi="仿宋" w:cs="仿宋_GB2312"/>
                <w:b/>
                <w:bCs/>
                <w:spacing w:val="4"/>
                <w:kern w:val="0"/>
                <w:sz w:val="21"/>
                <w:szCs w:val="21"/>
              </w:rPr>
            </w:pPr>
            <w:r>
              <w:rPr>
                <w:rFonts w:hint="eastAsia" w:ascii="仿宋" w:hAnsi="仿宋" w:cs="仿宋_GB2312"/>
                <w:b/>
                <w:bCs/>
                <w:spacing w:val="4"/>
                <w:kern w:val="0"/>
                <w:sz w:val="21"/>
                <w:szCs w:val="21"/>
              </w:rPr>
              <w:t>序号</w:t>
            </w:r>
          </w:p>
        </w:tc>
        <w:tc>
          <w:tcPr>
            <w:tcW w:w="709" w:type="dxa"/>
            <w:vAlign w:val="center"/>
          </w:tcPr>
          <w:p>
            <w:pPr>
              <w:kinsoku w:val="0"/>
              <w:overflowPunct w:val="0"/>
              <w:autoSpaceDE w:val="0"/>
              <w:autoSpaceDN w:val="0"/>
              <w:adjustRightInd w:val="0"/>
              <w:spacing w:line="287" w:lineRule="exact"/>
              <w:ind w:left="128" w:firstLine="0" w:firstLineChars="0"/>
              <w:rPr>
                <w:rFonts w:ascii="仿宋" w:hAnsi="仿宋" w:cs="仿宋_GB2312"/>
                <w:b/>
                <w:bCs/>
                <w:spacing w:val="4"/>
                <w:kern w:val="0"/>
                <w:sz w:val="21"/>
                <w:szCs w:val="21"/>
              </w:rPr>
            </w:pPr>
            <w:r>
              <w:rPr>
                <w:rFonts w:hint="eastAsia" w:ascii="仿宋" w:hAnsi="仿宋" w:cs="仿宋_GB2312"/>
                <w:b/>
                <w:bCs/>
                <w:spacing w:val="4"/>
                <w:kern w:val="0"/>
                <w:sz w:val="21"/>
                <w:szCs w:val="21"/>
              </w:rPr>
              <w:t>类别</w:t>
            </w:r>
          </w:p>
        </w:tc>
        <w:tc>
          <w:tcPr>
            <w:tcW w:w="5279" w:type="dxa"/>
            <w:vAlign w:val="center"/>
          </w:tcPr>
          <w:p>
            <w:pPr>
              <w:kinsoku w:val="0"/>
              <w:overflowPunct w:val="0"/>
              <w:autoSpaceDE w:val="0"/>
              <w:autoSpaceDN w:val="0"/>
              <w:adjustRightInd w:val="0"/>
              <w:spacing w:line="301" w:lineRule="exact"/>
              <w:ind w:left="942" w:firstLine="0" w:firstLineChars="0"/>
              <w:jc w:val="center"/>
              <w:rPr>
                <w:rFonts w:ascii="仿宋" w:hAnsi="仿宋" w:cs="仿宋_GB2312"/>
                <w:b/>
                <w:bCs/>
                <w:spacing w:val="4"/>
                <w:kern w:val="0"/>
                <w:sz w:val="21"/>
                <w:szCs w:val="21"/>
              </w:rPr>
            </w:pPr>
            <w:r>
              <w:rPr>
                <w:rFonts w:hint="eastAsia" w:ascii="仿宋" w:hAnsi="仿宋" w:cs="仿宋_GB2312"/>
                <w:b/>
                <w:bCs/>
                <w:spacing w:val="4"/>
                <w:kern w:val="0"/>
                <w:sz w:val="21"/>
                <w:szCs w:val="21"/>
              </w:rPr>
              <w:t>名称</w:t>
            </w:r>
          </w:p>
        </w:tc>
        <w:tc>
          <w:tcPr>
            <w:tcW w:w="791" w:type="dxa"/>
            <w:vAlign w:val="center"/>
          </w:tcPr>
          <w:p>
            <w:pPr>
              <w:kinsoku w:val="0"/>
              <w:overflowPunct w:val="0"/>
              <w:autoSpaceDE w:val="0"/>
              <w:autoSpaceDN w:val="0"/>
              <w:adjustRightInd w:val="0"/>
              <w:spacing w:line="301" w:lineRule="exact"/>
              <w:ind w:firstLine="0" w:firstLineChars="0"/>
              <w:jc w:val="center"/>
              <w:rPr>
                <w:rFonts w:ascii="仿宋" w:hAnsi="仿宋" w:cs="仿宋_GB2312"/>
                <w:b/>
                <w:bCs/>
                <w:spacing w:val="4"/>
                <w:kern w:val="0"/>
                <w:sz w:val="21"/>
                <w:szCs w:val="21"/>
              </w:rPr>
            </w:pPr>
            <w:r>
              <w:rPr>
                <w:rFonts w:hint="eastAsia" w:ascii="仿宋" w:hAnsi="仿宋" w:cs="仿宋_GB2312"/>
                <w:b/>
                <w:bCs/>
                <w:spacing w:val="4"/>
                <w:kern w:val="0"/>
                <w:sz w:val="21"/>
                <w:szCs w:val="21"/>
              </w:rPr>
              <w:t>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7" w:hRule="exact"/>
          <w:jc w:val="center"/>
        </w:trPr>
        <w:tc>
          <w:tcPr>
            <w:tcW w:w="709" w:type="dxa"/>
            <w:vAlign w:val="center"/>
          </w:tcPr>
          <w:p>
            <w:pPr>
              <w:spacing w:line="240" w:lineRule="auto"/>
              <w:ind w:firstLine="0" w:firstLineChars="0"/>
              <w:jc w:val="center"/>
              <w:rPr>
                <w:rFonts w:ascii="仿宋" w:hAnsi="仿宋" w:cs="仿宋_GB2312"/>
                <w:spacing w:val="4"/>
                <w:kern w:val="0"/>
                <w:sz w:val="21"/>
                <w:szCs w:val="21"/>
              </w:rPr>
            </w:pPr>
            <w:r>
              <w:rPr>
                <w:rFonts w:hint="eastAsia" w:ascii="仿宋" w:hAnsi="仿宋" w:cs="仿宋_GB2312"/>
                <w:spacing w:val="4"/>
                <w:kern w:val="0"/>
                <w:sz w:val="21"/>
                <w:szCs w:val="21"/>
              </w:rPr>
              <w:t>1</w:t>
            </w:r>
          </w:p>
        </w:tc>
        <w:tc>
          <w:tcPr>
            <w:tcW w:w="709" w:type="dxa"/>
          </w:tcPr>
          <w:p>
            <w:pPr>
              <w:kinsoku w:val="0"/>
              <w:overflowPunct w:val="0"/>
              <w:autoSpaceDE w:val="0"/>
              <w:autoSpaceDN w:val="0"/>
              <w:adjustRightInd w:val="0"/>
              <w:spacing w:line="287" w:lineRule="exact"/>
              <w:ind w:left="128" w:firstLine="0" w:firstLineChars="0"/>
              <w:jc w:val="left"/>
              <w:rPr>
                <w:rFonts w:ascii="仿宋" w:hAnsi="仿宋" w:cs="仿宋_GB2312"/>
                <w:spacing w:val="4"/>
                <w:kern w:val="0"/>
                <w:sz w:val="21"/>
                <w:szCs w:val="21"/>
              </w:rPr>
            </w:pPr>
            <w:r>
              <w:rPr>
                <w:rFonts w:hint="eastAsia" w:ascii="仿宋" w:hAnsi="仿宋" w:cs="仿宋_GB2312"/>
                <w:spacing w:val="4"/>
                <w:kern w:val="0"/>
                <w:sz w:val="21"/>
                <w:szCs w:val="21"/>
              </w:rPr>
              <w:t>软件</w:t>
            </w:r>
          </w:p>
        </w:tc>
        <w:tc>
          <w:tcPr>
            <w:tcW w:w="5279" w:type="dxa"/>
          </w:tcPr>
          <w:p>
            <w:pPr>
              <w:kinsoku w:val="0"/>
              <w:overflowPunct w:val="0"/>
              <w:autoSpaceDE w:val="0"/>
              <w:autoSpaceDN w:val="0"/>
              <w:adjustRightInd w:val="0"/>
              <w:spacing w:line="301" w:lineRule="exact"/>
              <w:ind w:left="942" w:firstLine="0" w:firstLineChars="0"/>
              <w:jc w:val="center"/>
              <w:rPr>
                <w:rFonts w:ascii="仿宋" w:hAnsi="仿宋" w:cs="仿宋_GB2312"/>
                <w:spacing w:val="4"/>
                <w:kern w:val="0"/>
                <w:sz w:val="21"/>
                <w:szCs w:val="21"/>
              </w:rPr>
            </w:pPr>
            <w:r>
              <w:rPr>
                <w:rFonts w:ascii="仿宋" w:hAnsi="仿宋" w:cs="仿宋_GB2312"/>
                <w:spacing w:val="4"/>
                <w:kern w:val="0"/>
                <w:sz w:val="21"/>
                <w:szCs w:val="21"/>
              </w:rPr>
              <w:t>Microsoft windows 10</w:t>
            </w:r>
            <w:r>
              <w:rPr>
                <w:rFonts w:hint="eastAsia" w:ascii="仿宋" w:hAnsi="仿宋" w:cs="仿宋_GB2312"/>
                <w:spacing w:val="4"/>
                <w:kern w:val="0"/>
                <w:sz w:val="21"/>
                <w:szCs w:val="21"/>
              </w:rPr>
              <w:t>（</w:t>
            </w:r>
            <w:r>
              <w:rPr>
                <w:rFonts w:ascii="仿宋" w:hAnsi="仿宋" w:cs="仿宋_GB2312"/>
                <w:spacing w:val="4"/>
                <w:kern w:val="0"/>
                <w:sz w:val="21"/>
                <w:szCs w:val="21"/>
              </w:rPr>
              <w:t xml:space="preserve">64 </w:t>
            </w:r>
            <w:r>
              <w:rPr>
                <w:rFonts w:hint="eastAsia" w:ascii="仿宋" w:hAnsi="仿宋" w:cs="仿宋_GB2312"/>
                <w:spacing w:val="4"/>
                <w:kern w:val="0"/>
                <w:sz w:val="21"/>
                <w:szCs w:val="21"/>
              </w:rPr>
              <w:t>位）</w:t>
            </w:r>
          </w:p>
        </w:tc>
        <w:tc>
          <w:tcPr>
            <w:tcW w:w="791" w:type="dxa"/>
          </w:tcPr>
          <w:p>
            <w:pPr>
              <w:kinsoku w:val="0"/>
              <w:overflowPunct w:val="0"/>
              <w:autoSpaceDE w:val="0"/>
              <w:autoSpaceDN w:val="0"/>
              <w:adjustRightInd w:val="0"/>
              <w:spacing w:line="301" w:lineRule="exact"/>
              <w:ind w:firstLine="0" w:firstLineChars="0"/>
              <w:jc w:val="center"/>
              <w:rPr>
                <w:rFonts w:ascii="仿宋" w:hAnsi="仿宋" w:cs="仿宋_GB2312"/>
                <w:spacing w:val="4"/>
                <w:kern w:val="0"/>
                <w:sz w:val="21"/>
                <w:szCs w:val="21"/>
              </w:rPr>
            </w:pPr>
            <w:r>
              <w:rPr>
                <w:rFonts w:ascii="仿宋" w:hAnsi="仿宋" w:cs="仿宋_GB2312"/>
                <w:spacing w:val="4"/>
                <w:kern w:val="0"/>
                <w:sz w:val="21"/>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2" w:hRule="exact"/>
          <w:jc w:val="center"/>
        </w:trPr>
        <w:tc>
          <w:tcPr>
            <w:tcW w:w="709" w:type="dxa"/>
            <w:vAlign w:val="center"/>
          </w:tcPr>
          <w:p>
            <w:pPr>
              <w:spacing w:line="240" w:lineRule="auto"/>
              <w:ind w:firstLine="0" w:firstLineChars="0"/>
              <w:jc w:val="center"/>
              <w:rPr>
                <w:rFonts w:ascii="仿宋" w:hAnsi="仿宋" w:cs="仿宋_GB2312"/>
                <w:spacing w:val="4"/>
                <w:kern w:val="0"/>
                <w:sz w:val="21"/>
                <w:szCs w:val="21"/>
              </w:rPr>
            </w:pPr>
            <w:r>
              <w:rPr>
                <w:rFonts w:hint="eastAsia" w:ascii="仿宋" w:hAnsi="仿宋" w:cs="仿宋_GB2312"/>
                <w:spacing w:val="4"/>
                <w:kern w:val="0"/>
                <w:sz w:val="21"/>
                <w:szCs w:val="21"/>
              </w:rPr>
              <w:t>2</w:t>
            </w:r>
          </w:p>
        </w:tc>
        <w:tc>
          <w:tcPr>
            <w:tcW w:w="709" w:type="dxa"/>
          </w:tcPr>
          <w:p>
            <w:pPr>
              <w:kinsoku w:val="0"/>
              <w:overflowPunct w:val="0"/>
              <w:autoSpaceDE w:val="0"/>
              <w:autoSpaceDN w:val="0"/>
              <w:adjustRightInd w:val="0"/>
              <w:spacing w:line="278" w:lineRule="exact"/>
              <w:ind w:left="128" w:firstLine="0" w:firstLineChars="0"/>
              <w:jc w:val="left"/>
              <w:rPr>
                <w:rFonts w:ascii="仿宋" w:hAnsi="仿宋" w:cs="仿宋_GB2312"/>
                <w:spacing w:val="4"/>
                <w:kern w:val="0"/>
                <w:sz w:val="21"/>
                <w:szCs w:val="21"/>
              </w:rPr>
            </w:pPr>
            <w:r>
              <w:rPr>
                <w:rFonts w:hint="eastAsia" w:ascii="仿宋" w:hAnsi="仿宋" w:cs="仿宋_GB2312"/>
                <w:spacing w:val="4"/>
                <w:kern w:val="0"/>
                <w:sz w:val="21"/>
                <w:szCs w:val="21"/>
              </w:rPr>
              <w:t>软件</w:t>
            </w:r>
          </w:p>
        </w:tc>
        <w:tc>
          <w:tcPr>
            <w:tcW w:w="5279" w:type="dxa"/>
          </w:tcPr>
          <w:p>
            <w:pPr>
              <w:kinsoku w:val="0"/>
              <w:overflowPunct w:val="0"/>
              <w:autoSpaceDE w:val="0"/>
              <w:autoSpaceDN w:val="0"/>
              <w:adjustRightInd w:val="0"/>
              <w:spacing w:line="292" w:lineRule="exact"/>
              <w:ind w:right="5" w:firstLine="0" w:firstLineChars="0"/>
              <w:jc w:val="center"/>
              <w:rPr>
                <w:rFonts w:ascii="仿宋" w:hAnsi="仿宋" w:cs="仿宋_GB2312"/>
                <w:spacing w:val="4"/>
                <w:kern w:val="0"/>
                <w:sz w:val="21"/>
                <w:szCs w:val="21"/>
              </w:rPr>
            </w:pPr>
            <w:r>
              <w:rPr>
                <w:rFonts w:ascii="仿宋" w:hAnsi="仿宋" w:cs="仿宋_GB2312"/>
                <w:spacing w:val="4"/>
                <w:kern w:val="0"/>
                <w:sz w:val="21"/>
                <w:szCs w:val="21"/>
              </w:rPr>
              <w:t>Ubuntu 20.04</w:t>
            </w:r>
          </w:p>
        </w:tc>
        <w:tc>
          <w:tcPr>
            <w:tcW w:w="791" w:type="dxa"/>
          </w:tcPr>
          <w:p>
            <w:pPr>
              <w:kinsoku w:val="0"/>
              <w:overflowPunct w:val="0"/>
              <w:autoSpaceDE w:val="0"/>
              <w:autoSpaceDN w:val="0"/>
              <w:adjustRightInd w:val="0"/>
              <w:spacing w:line="292" w:lineRule="exact"/>
              <w:ind w:firstLine="0" w:firstLineChars="0"/>
              <w:jc w:val="center"/>
              <w:rPr>
                <w:rFonts w:ascii="仿宋" w:hAnsi="仿宋" w:cs="仿宋_GB2312"/>
                <w:spacing w:val="4"/>
                <w:kern w:val="0"/>
                <w:sz w:val="21"/>
                <w:szCs w:val="21"/>
              </w:rPr>
            </w:pPr>
            <w:r>
              <w:rPr>
                <w:rFonts w:ascii="仿宋" w:hAnsi="仿宋" w:cs="仿宋_GB2312"/>
                <w:spacing w:val="4"/>
                <w:kern w:val="0"/>
                <w:sz w:val="21"/>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2" w:hRule="exact"/>
          <w:jc w:val="center"/>
        </w:trPr>
        <w:tc>
          <w:tcPr>
            <w:tcW w:w="709" w:type="dxa"/>
            <w:vAlign w:val="center"/>
          </w:tcPr>
          <w:p>
            <w:pPr>
              <w:spacing w:line="240" w:lineRule="auto"/>
              <w:ind w:firstLine="0" w:firstLineChars="0"/>
              <w:jc w:val="center"/>
              <w:rPr>
                <w:rFonts w:ascii="仿宋" w:hAnsi="仿宋" w:cs="仿宋_GB2312"/>
                <w:spacing w:val="4"/>
                <w:kern w:val="0"/>
                <w:sz w:val="21"/>
                <w:szCs w:val="21"/>
              </w:rPr>
            </w:pPr>
            <w:r>
              <w:rPr>
                <w:rFonts w:hint="eastAsia" w:ascii="仿宋" w:hAnsi="仿宋" w:cs="仿宋_GB2312"/>
                <w:spacing w:val="4"/>
                <w:kern w:val="0"/>
                <w:sz w:val="21"/>
                <w:szCs w:val="21"/>
              </w:rPr>
              <w:t>3</w:t>
            </w:r>
          </w:p>
        </w:tc>
        <w:tc>
          <w:tcPr>
            <w:tcW w:w="709" w:type="dxa"/>
          </w:tcPr>
          <w:p>
            <w:pPr>
              <w:kinsoku w:val="0"/>
              <w:overflowPunct w:val="0"/>
              <w:autoSpaceDE w:val="0"/>
              <w:autoSpaceDN w:val="0"/>
              <w:adjustRightInd w:val="0"/>
              <w:spacing w:line="276" w:lineRule="exact"/>
              <w:ind w:left="128" w:firstLine="0" w:firstLineChars="0"/>
              <w:jc w:val="left"/>
              <w:rPr>
                <w:rFonts w:ascii="仿宋" w:hAnsi="仿宋" w:cs="仿宋_GB2312"/>
                <w:spacing w:val="4"/>
                <w:kern w:val="0"/>
                <w:sz w:val="21"/>
                <w:szCs w:val="21"/>
              </w:rPr>
            </w:pPr>
            <w:r>
              <w:rPr>
                <w:rFonts w:hint="eastAsia" w:ascii="仿宋" w:hAnsi="仿宋" w:cs="仿宋_GB2312"/>
                <w:spacing w:val="4"/>
                <w:kern w:val="0"/>
                <w:sz w:val="21"/>
                <w:szCs w:val="21"/>
              </w:rPr>
              <w:t>软件</w:t>
            </w:r>
          </w:p>
        </w:tc>
        <w:tc>
          <w:tcPr>
            <w:tcW w:w="5279" w:type="dxa"/>
          </w:tcPr>
          <w:p>
            <w:pPr>
              <w:kinsoku w:val="0"/>
              <w:overflowPunct w:val="0"/>
              <w:autoSpaceDE w:val="0"/>
              <w:autoSpaceDN w:val="0"/>
              <w:adjustRightInd w:val="0"/>
              <w:spacing w:line="293" w:lineRule="exact"/>
              <w:ind w:firstLine="0" w:firstLineChars="0"/>
              <w:jc w:val="center"/>
              <w:rPr>
                <w:rFonts w:ascii="仿宋" w:hAnsi="仿宋" w:cs="仿宋_GB2312"/>
                <w:spacing w:val="4"/>
                <w:kern w:val="0"/>
                <w:sz w:val="21"/>
                <w:szCs w:val="21"/>
              </w:rPr>
            </w:pPr>
            <w:r>
              <w:rPr>
                <w:rFonts w:ascii="仿宋" w:hAnsi="仿宋" w:cs="仿宋_GB2312"/>
                <w:spacing w:val="4"/>
                <w:kern w:val="0"/>
                <w:sz w:val="21"/>
                <w:szCs w:val="21"/>
              </w:rPr>
              <w:t>Microsoft Office 2016</w:t>
            </w:r>
          </w:p>
        </w:tc>
        <w:tc>
          <w:tcPr>
            <w:tcW w:w="791" w:type="dxa"/>
          </w:tcPr>
          <w:p>
            <w:pPr>
              <w:kinsoku w:val="0"/>
              <w:overflowPunct w:val="0"/>
              <w:autoSpaceDE w:val="0"/>
              <w:autoSpaceDN w:val="0"/>
              <w:adjustRightInd w:val="0"/>
              <w:spacing w:line="293" w:lineRule="exact"/>
              <w:ind w:firstLine="0" w:firstLineChars="0"/>
              <w:jc w:val="center"/>
              <w:rPr>
                <w:rFonts w:ascii="仿宋" w:hAnsi="仿宋" w:cs="仿宋_GB2312"/>
                <w:spacing w:val="4"/>
                <w:kern w:val="0"/>
                <w:sz w:val="21"/>
                <w:szCs w:val="21"/>
              </w:rPr>
            </w:pPr>
            <w:r>
              <w:rPr>
                <w:rFonts w:ascii="仿宋" w:hAnsi="仿宋" w:cs="仿宋_GB2312"/>
                <w:spacing w:val="4"/>
                <w:kern w:val="0"/>
                <w:sz w:val="21"/>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2" w:hRule="exact"/>
          <w:jc w:val="center"/>
        </w:trPr>
        <w:tc>
          <w:tcPr>
            <w:tcW w:w="709" w:type="dxa"/>
            <w:vAlign w:val="center"/>
          </w:tcPr>
          <w:p>
            <w:pPr>
              <w:spacing w:line="240" w:lineRule="auto"/>
              <w:ind w:firstLine="0" w:firstLineChars="0"/>
              <w:jc w:val="center"/>
              <w:rPr>
                <w:rFonts w:ascii="仿宋" w:hAnsi="仿宋" w:cs="仿宋_GB2312"/>
                <w:spacing w:val="4"/>
                <w:kern w:val="0"/>
                <w:sz w:val="21"/>
                <w:szCs w:val="21"/>
              </w:rPr>
            </w:pPr>
            <w:r>
              <w:rPr>
                <w:rFonts w:hint="eastAsia" w:ascii="仿宋" w:hAnsi="仿宋" w:cs="仿宋_GB2312"/>
                <w:spacing w:val="4"/>
                <w:kern w:val="0"/>
                <w:sz w:val="21"/>
                <w:szCs w:val="21"/>
              </w:rPr>
              <w:t>4</w:t>
            </w:r>
          </w:p>
        </w:tc>
        <w:tc>
          <w:tcPr>
            <w:tcW w:w="709" w:type="dxa"/>
          </w:tcPr>
          <w:p>
            <w:pPr>
              <w:kinsoku w:val="0"/>
              <w:overflowPunct w:val="0"/>
              <w:autoSpaceDE w:val="0"/>
              <w:autoSpaceDN w:val="0"/>
              <w:adjustRightInd w:val="0"/>
              <w:spacing w:line="277" w:lineRule="exact"/>
              <w:ind w:left="128" w:firstLine="0" w:firstLineChars="0"/>
              <w:jc w:val="left"/>
              <w:rPr>
                <w:rFonts w:ascii="仿宋" w:hAnsi="仿宋" w:cs="仿宋_GB2312"/>
                <w:spacing w:val="4"/>
                <w:kern w:val="0"/>
                <w:sz w:val="21"/>
                <w:szCs w:val="21"/>
              </w:rPr>
            </w:pPr>
            <w:r>
              <w:rPr>
                <w:rFonts w:hint="eastAsia" w:ascii="仿宋" w:hAnsi="仿宋" w:cs="仿宋_GB2312"/>
                <w:spacing w:val="4"/>
                <w:kern w:val="0"/>
                <w:sz w:val="21"/>
                <w:szCs w:val="21"/>
              </w:rPr>
              <w:t>软件</w:t>
            </w:r>
          </w:p>
        </w:tc>
        <w:tc>
          <w:tcPr>
            <w:tcW w:w="5279" w:type="dxa"/>
          </w:tcPr>
          <w:p>
            <w:pPr>
              <w:kinsoku w:val="0"/>
              <w:overflowPunct w:val="0"/>
              <w:autoSpaceDE w:val="0"/>
              <w:autoSpaceDN w:val="0"/>
              <w:adjustRightInd w:val="0"/>
              <w:spacing w:line="292" w:lineRule="exact"/>
              <w:ind w:firstLine="0" w:firstLineChars="0"/>
              <w:jc w:val="center"/>
              <w:rPr>
                <w:rFonts w:ascii="仿宋" w:hAnsi="仿宋" w:cs="仿宋_GB2312"/>
                <w:spacing w:val="4"/>
                <w:kern w:val="0"/>
                <w:sz w:val="21"/>
                <w:szCs w:val="21"/>
              </w:rPr>
            </w:pPr>
            <w:r>
              <w:rPr>
                <w:rFonts w:ascii="仿宋" w:hAnsi="仿宋" w:cs="仿宋_GB2312"/>
                <w:spacing w:val="4"/>
                <w:kern w:val="0"/>
                <w:sz w:val="21"/>
                <w:szCs w:val="21"/>
              </w:rPr>
              <w:t>Microsoft Visio 2016</w:t>
            </w:r>
          </w:p>
        </w:tc>
        <w:tc>
          <w:tcPr>
            <w:tcW w:w="791" w:type="dxa"/>
          </w:tcPr>
          <w:p>
            <w:pPr>
              <w:kinsoku w:val="0"/>
              <w:overflowPunct w:val="0"/>
              <w:autoSpaceDE w:val="0"/>
              <w:autoSpaceDN w:val="0"/>
              <w:adjustRightInd w:val="0"/>
              <w:spacing w:line="292" w:lineRule="exact"/>
              <w:ind w:firstLine="0" w:firstLineChars="0"/>
              <w:jc w:val="center"/>
              <w:rPr>
                <w:rFonts w:ascii="仿宋" w:hAnsi="仿宋" w:cs="仿宋_GB2312"/>
                <w:spacing w:val="4"/>
                <w:kern w:val="0"/>
                <w:sz w:val="21"/>
                <w:szCs w:val="21"/>
              </w:rPr>
            </w:pPr>
            <w:r>
              <w:rPr>
                <w:rFonts w:ascii="仿宋" w:hAnsi="仿宋" w:cs="仿宋_GB2312"/>
                <w:spacing w:val="4"/>
                <w:kern w:val="0"/>
                <w:sz w:val="21"/>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2" w:hRule="exact"/>
          <w:jc w:val="center"/>
        </w:trPr>
        <w:tc>
          <w:tcPr>
            <w:tcW w:w="709" w:type="dxa"/>
            <w:vAlign w:val="center"/>
          </w:tcPr>
          <w:p>
            <w:pPr>
              <w:spacing w:line="240" w:lineRule="auto"/>
              <w:ind w:firstLine="0" w:firstLineChars="0"/>
              <w:jc w:val="center"/>
              <w:rPr>
                <w:rFonts w:ascii="仿宋" w:hAnsi="仿宋" w:cs="仿宋_GB2312"/>
                <w:spacing w:val="4"/>
                <w:kern w:val="0"/>
                <w:sz w:val="21"/>
                <w:szCs w:val="21"/>
              </w:rPr>
            </w:pPr>
            <w:r>
              <w:rPr>
                <w:rFonts w:hint="eastAsia" w:ascii="仿宋" w:hAnsi="仿宋" w:cs="仿宋_GB2312"/>
                <w:spacing w:val="4"/>
                <w:kern w:val="0"/>
                <w:sz w:val="21"/>
                <w:szCs w:val="21"/>
              </w:rPr>
              <w:t>5</w:t>
            </w:r>
          </w:p>
        </w:tc>
        <w:tc>
          <w:tcPr>
            <w:tcW w:w="709" w:type="dxa"/>
          </w:tcPr>
          <w:p>
            <w:pPr>
              <w:kinsoku w:val="0"/>
              <w:overflowPunct w:val="0"/>
              <w:autoSpaceDE w:val="0"/>
              <w:autoSpaceDN w:val="0"/>
              <w:adjustRightInd w:val="0"/>
              <w:spacing w:line="292" w:lineRule="exact"/>
              <w:ind w:left="128" w:firstLine="0" w:firstLineChars="0"/>
              <w:jc w:val="left"/>
              <w:rPr>
                <w:rFonts w:ascii="仿宋" w:hAnsi="仿宋" w:cs="仿宋_GB2312"/>
                <w:spacing w:val="4"/>
                <w:kern w:val="0"/>
                <w:sz w:val="21"/>
                <w:szCs w:val="21"/>
              </w:rPr>
            </w:pPr>
            <w:r>
              <w:rPr>
                <w:rFonts w:hint="eastAsia" w:ascii="仿宋" w:hAnsi="仿宋" w:cs="仿宋_GB2312"/>
                <w:spacing w:val="4"/>
                <w:kern w:val="0"/>
                <w:sz w:val="21"/>
                <w:szCs w:val="21"/>
              </w:rPr>
              <w:t>软件</w:t>
            </w:r>
          </w:p>
        </w:tc>
        <w:tc>
          <w:tcPr>
            <w:tcW w:w="5279" w:type="dxa"/>
          </w:tcPr>
          <w:p>
            <w:pPr>
              <w:kinsoku w:val="0"/>
              <w:overflowPunct w:val="0"/>
              <w:autoSpaceDE w:val="0"/>
              <w:autoSpaceDN w:val="0"/>
              <w:adjustRightInd w:val="0"/>
              <w:spacing w:line="292" w:lineRule="exact"/>
              <w:ind w:left="213" w:firstLine="0" w:firstLineChars="0"/>
              <w:jc w:val="center"/>
              <w:rPr>
                <w:rFonts w:ascii="仿宋" w:hAnsi="仿宋" w:cs="仿宋_GB2312"/>
                <w:spacing w:val="4"/>
                <w:kern w:val="0"/>
                <w:sz w:val="21"/>
                <w:szCs w:val="21"/>
              </w:rPr>
            </w:pPr>
            <w:r>
              <w:rPr>
                <w:rFonts w:ascii="仿宋" w:hAnsi="仿宋" w:cs="仿宋_GB2312"/>
                <w:spacing w:val="4"/>
                <w:kern w:val="0"/>
                <w:sz w:val="21"/>
                <w:szCs w:val="21"/>
              </w:rPr>
              <w:t>IAR Embedded Workbench for 8051 8.10.1</w:t>
            </w:r>
          </w:p>
        </w:tc>
        <w:tc>
          <w:tcPr>
            <w:tcW w:w="791" w:type="dxa"/>
          </w:tcPr>
          <w:p>
            <w:pPr>
              <w:kinsoku w:val="0"/>
              <w:overflowPunct w:val="0"/>
              <w:autoSpaceDE w:val="0"/>
              <w:autoSpaceDN w:val="0"/>
              <w:adjustRightInd w:val="0"/>
              <w:spacing w:line="292" w:lineRule="exact"/>
              <w:ind w:firstLine="0" w:firstLineChars="0"/>
              <w:jc w:val="center"/>
              <w:rPr>
                <w:rFonts w:ascii="仿宋" w:hAnsi="仿宋" w:cs="仿宋_GB2312"/>
                <w:spacing w:val="4"/>
                <w:kern w:val="0"/>
                <w:sz w:val="21"/>
                <w:szCs w:val="21"/>
              </w:rPr>
            </w:pPr>
            <w:r>
              <w:rPr>
                <w:rFonts w:ascii="仿宋" w:hAnsi="仿宋" w:cs="仿宋_GB2312"/>
                <w:spacing w:val="4"/>
                <w:kern w:val="0"/>
                <w:sz w:val="21"/>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2" w:hRule="exact"/>
          <w:jc w:val="center"/>
        </w:trPr>
        <w:tc>
          <w:tcPr>
            <w:tcW w:w="709" w:type="dxa"/>
            <w:vAlign w:val="center"/>
          </w:tcPr>
          <w:p>
            <w:pPr>
              <w:spacing w:line="240" w:lineRule="auto"/>
              <w:ind w:firstLine="0" w:firstLineChars="0"/>
              <w:jc w:val="center"/>
              <w:rPr>
                <w:rFonts w:ascii="仿宋" w:hAnsi="仿宋" w:cs="仿宋_GB2312"/>
                <w:spacing w:val="4"/>
                <w:kern w:val="0"/>
                <w:sz w:val="21"/>
                <w:szCs w:val="21"/>
              </w:rPr>
            </w:pPr>
            <w:r>
              <w:rPr>
                <w:rFonts w:hint="eastAsia" w:ascii="仿宋" w:hAnsi="仿宋" w:cs="仿宋_GB2312"/>
                <w:spacing w:val="4"/>
                <w:kern w:val="0"/>
                <w:sz w:val="21"/>
                <w:szCs w:val="21"/>
              </w:rPr>
              <w:t>6</w:t>
            </w:r>
          </w:p>
        </w:tc>
        <w:tc>
          <w:tcPr>
            <w:tcW w:w="709" w:type="dxa"/>
          </w:tcPr>
          <w:p>
            <w:pPr>
              <w:kinsoku w:val="0"/>
              <w:overflowPunct w:val="0"/>
              <w:autoSpaceDE w:val="0"/>
              <w:autoSpaceDN w:val="0"/>
              <w:adjustRightInd w:val="0"/>
              <w:spacing w:line="293" w:lineRule="exact"/>
              <w:ind w:left="128" w:firstLine="0" w:firstLineChars="0"/>
              <w:jc w:val="left"/>
              <w:rPr>
                <w:rFonts w:ascii="仿宋" w:hAnsi="仿宋" w:cs="仿宋_GB2312"/>
                <w:spacing w:val="4"/>
                <w:kern w:val="0"/>
                <w:sz w:val="21"/>
                <w:szCs w:val="21"/>
              </w:rPr>
            </w:pPr>
            <w:r>
              <w:rPr>
                <w:rFonts w:hint="eastAsia" w:ascii="仿宋" w:hAnsi="仿宋" w:cs="仿宋_GB2312"/>
                <w:spacing w:val="4"/>
                <w:kern w:val="0"/>
                <w:sz w:val="21"/>
                <w:szCs w:val="21"/>
              </w:rPr>
              <w:t>软件</w:t>
            </w:r>
          </w:p>
        </w:tc>
        <w:tc>
          <w:tcPr>
            <w:tcW w:w="5279" w:type="dxa"/>
          </w:tcPr>
          <w:p>
            <w:pPr>
              <w:kinsoku w:val="0"/>
              <w:overflowPunct w:val="0"/>
              <w:autoSpaceDE w:val="0"/>
              <w:autoSpaceDN w:val="0"/>
              <w:adjustRightInd w:val="0"/>
              <w:spacing w:line="293" w:lineRule="exact"/>
              <w:ind w:firstLine="0" w:firstLineChars="0"/>
              <w:jc w:val="center"/>
              <w:rPr>
                <w:rFonts w:ascii="仿宋" w:hAnsi="仿宋" w:cs="仿宋_GB2312"/>
                <w:spacing w:val="4"/>
                <w:kern w:val="0"/>
                <w:sz w:val="21"/>
                <w:szCs w:val="21"/>
              </w:rPr>
            </w:pPr>
            <w:r>
              <w:rPr>
                <w:rFonts w:ascii="仿宋" w:hAnsi="仿宋" w:cs="仿宋_GB2312"/>
                <w:spacing w:val="4"/>
                <w:kern w:val="0"/>
                <w:sz w:val="21"/>
                <w:szCs w:val="21"/>
              </w:rPr>
              <w:t>Keil uVision 5</w:t>
            </w:r>
          </w:p>
        </w:tc>
        <w:tc>
          <w:tcPr>
            <w:tcW w:w="791" w:type="dxa"/>
          </w:tcPr>
          <w:p>
            <w:pPr>
              <w:kinsoku w:val="0"/>
              <w:overflowPunct w:val="0"/>
              <w:autoSpaceDE w:val="0"/>
              <w:autoSpaceDN w:val="0"/>
              <w:adjustRightInd w:val="0"/>
              <w:spacing w:line="293" w:lineRule="exact"/>
              <w:ind w:firstLine="0" w:firstLineChars="0"/>
              <w:jc w:val="center"/>
              <w:rPr>
                <w:rFonts w:ascii="仿宋" w:hAnsi="仿宋" w:cs="仿宋_GB2312"/>
                <w:spacing w:val="4"/>
                <w:kern w:val="0"/>
                <w:sz w:val="21"/>
                <w:szCs w:val="21"/>
              </w:rPr>
            </w:pPr>
            <w:r>
              <w:rPr>
                <w:rFonts w:ascii="仿宋" w:hAnsi="仿宋" w:cs="仿宋_GB2312"/>
                <w:spacing w:val="4"/>
                <w:kern w:val="0"/>
                <w:sz w:val="21"/>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2" w:hRule="exact"/>
          <w:jc w:val="center"/>
        </w:trPr>
        <w:tc>
          <w:tcPr>
            <w:tcW w:w="709" w:type="dxa"/>
            <w:vAlign w:val="center"/>
          </w:tcPr>
          <w:p>
            <w:pPr>
              <w:spacing w:line="240" w:lineRule="auto"/>
              <w:ind w:firstLine="0" w:firstLineChars="0"/>
              <w:jc w:val="center"/>
              <w:rPr>
                <w:rFonts w:ascii="仿宋" w:hAnsi="仿宋" w:cs="Times New Roman"/>
                <w:sz w:val="21"/>
                <w:szCs w:val="21"/>
              </w:rPr>
            </w:pPr>
            <w:r>
              <w:rPr>
                <w:rFonts w:hint="eastAsia" w:ascii="仿宋" w:hAnsi="仿宋" w:cs="Times New Roman"/>
                <w:sz w:val="21"/>
                <w:szCs w:val="21"/>
              </w:rPr>
              <w:t>7</w:t>
            </w:r>
          </w:p>
        </w:tc>
        <w:tc>
          <w:tcPr>
            <w:tcW w:w="709" w:type="dxa"/>
          </w:tcPr>
          <w:p>
            <w:pPr>
              <w:kinsoku w:val="0"/>
              <w:overflowPunct w:val="0"/>
              <w:autoSpaceDE w:val="0"/>
              <w:autoSpaceDN w:val="0"/>
              <w:adjustRightInd w:val="0"/>
              <w:spacing w:line="277" w:lineRule="exact"/>
              <w:ind w:left="128" w:firstLine="0" w:firstLineChars="0"/>
              <w:jc w:val="left"/>
              <w:rPr>
                <w:rFonts w:ascii="仿宋" w:hAnsi="仿宋" w:cs="仿宋_GB2312"/>
                <w:spacing w:val="4"/>
                <w:kern w:val="0"/>
                <w:sz w:val="21"/>
                <w:szCs w:val="21"/>
              </w:rPr>
            </w:pPr>
            <w:r>
              <w:rPr>
                <w:rFonts w:hint="eastAsia" w:ascii="仿宋" w:hAnsi="仿宋" w:cs="仿宋_GB2312"/>
                <w:spacing w:val="4"/>
                <w:kern w:val="0"/>
                <w:sz w:val="21"/>
                <w:szCs w:val="21"/>
              </w:rPr>
              <w:t>软件</w:t>
            </w:r>
          </w:p>
        </w:tc>
        <w:tc>
          <w:tcPr>
            <w:tcW w:w="5279" w:type="dxa"/>
          </w:tcPr>
          <w:p>
            <w:pPr>
              <w:kinsoku w:val="0"/>
              <w:overflowPunct w:val="0"/>
              <w:autoSpaceDE w:val="0"/>
              <w:autoSpaceDN w:val="0"/>
              <w:adjustRightInd w:val="0"/>
              <w:spacing w:line="277" w:lineRule="exact"/>
              <w:ind w:firstLine="0" w:firstLineChars="0"/>
              <w:jc w:val="center"/>
              <w:rPr>
                <w:rFonts w:ascii="仿宋" w:hAnsi="仿宋" w:cs="仿宋_GB2312"/>
                <w:spacing w:val="4"/>
                <w:kern w:val="0"/>
                <w:sz w:val="21"/>
                <w:szCs w:val="21"/>
              </w:rPr>
            </w:pPr>
            <w:r>
              <w:rPr>
                <w:rFonts w:ascii="仿宋" w:hAnsi="仿宋" w:cs="仿宋_GB2312"/>
                <w:spacing w:val="4"/>
                <w:kern w:val="0"/>
                <w:sz w:val="21"/>
                <w:szCs w:val="21"/>
              </w:rPr>
              <w:t>Android Studio 3.2</w:t>
            </w:r>
          </w:p>
        </w:tc>
        <w:tc>
          <w:tcPr>
            <w:tcW w:w="791" w:type="dxa"/>
          </w:tcPr>
          <w:p>
            <w:pPr>
              <w:kinsoku w:val="0"/>
              <w:overflowPunct w:val="0"/>
              <w:autoSpaceDE w:val="0"/>
              <w:autoSpaceDN w:val="0"/>
              <w:adjustRightInd w:val="0"/>
              <w:spacing w:line="277" w:lineRule="exact"/>
              <w:ind w:firstLine="0" w:firstLineChars="0"/>
              <w:jc w:val="center"/>
              <w:rPr>
                <w:rFonts w:ascii="仿宋" w:hAnsi="仿宋" w:cs="仿宋_GB2312"/>
                <w:spacing w:val="4"/>
                <w:kern w:val="0"/>
                <w:sz w:val="21"/>
                <w:szCs w:val="21"/>
              </w:rPr>
            </w:pPr>
            <w:r>
              <w:rPr>
                <w:rFonts w:ascii="仿宋" w:hAnsi="仿宋" w:cs="仿宋_GB2312"/>
                <w:spacing w:val="4"/>
                <w:kern w:val="0"/>
                <w:sz w:val="21"/>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2" w:hRule="exact"/>
          <w:jc w:val="center"/>
        </w:trPr>
        <w:tc>
          <w:tcPr>
            <w:tcW w:w="709" w:type="dxa"/>
            <w:vAlign w:val="center"/>
          </w:tcPr>
          <w:p>
            <w:pPr>
              <w:spacing w:line="240" w:lineRule="auto"/>
              <w:ind w:firstLine="0" w:firstLineChars="0"/>
              <w:jc w:val="center"/>
              <w:rPr>
                <w:rFonts w:ascii="仿宋" w:hAnsi="仿宋" w:cs="Times New Roman"/>
                <w:sz w:val="21"/>
                <w:szCs w:val="21"/>
              </w:rPr>
            </w:pPr>
            <w:r>
              <w:rPr>
                <w:rFonts w:hint="eastAsia" w:ascii="仿宋" w:hAnsi="仿宋" w:cs="Times New Roman"/>
                <w:sz w:val="21"/>
                <w:szCs w:val="21"/>
              </w:rPr>
              <w:t>8</w:t>
            </w:r>
          </w:p>
        </w:tc>
        <w:tc>
          <w:tcPr>
            <w:tcW w:w="709" w:type="dxa"/>
          </w:tcPr>
          <w:p>
            <w:pPr>
              <w:kinsoku w:val="0"/>
              <w:overflowPunct w:val="0"/>
              <w:autoSpaceDE w:val="0"/>
              <w:autoSpaceDN w:val="0"/>
              <w:adjustRightInd w:val="0"/>
              <w:spacing w:line="291" w:lineRule="exact"/>
              <w:ind w:left="128" w:firstLine="0" w:firstLineChars="0"/>
              <w:jc w:val="left"/>
              <w:rPr>
                <w:rFonts w:ascii="仿宋" w:hAnsi="仿宋" w:cs="仿宋_GB2312"/>
                <w:spacing w:val="4"/>
                <w:kern w:val="0"/>
                <w:sz w:val="21"/>
                <w:szCs w:val="21"/>
              </w:rPr>
            </w:pPr>
            <w:r>
              <w:rPr>
                <w:rFonts w:hint="eastAsia" w:ascii="仿宋" w:hAnsi="仿宋" w:cs="仿宋_GB2312"/>
                <w:spacing w:val="4"/>
                <w:kern w:val="0"/>
                <w:sz w:val="21"/>
                <w:szCs w:val="21"/>
              </w:rPr>
              <w:t>软件</w:t>
            </w:r>
          </w:p>
        </w:tc>
        <w:tc>
          <w:tcPr>
            <w:tcW w:w="5279" w:type="dxa"/>
          </w:tcPr>
          <w:p>
            <w:pPr>
              <w:kinsoku w:val="0"/>
              <w:overflowPunct w:val="0"/>
              <w:autoSpaceDE w:val="0"/>
              <w:autoSpaceDN w:val="0"/>
              <w:adjustRightInd w:val="0"/>
              <w:spacing w:line="291" w:lineRule="exact"/>
              <w:ind w:right="5" w:firstLine="0" w:firstLineChars="0"/>
              <w:jc w:val="center"/>
              <w:rPr>
                <w:rFonts w:ascii="仿宋" w:hAnsi="仿宋" w:cs="仿宋_GB2312"/>
                <w:spacing w:val="4"/>
                <w:kern w:val="0"/>
                <w:sz w:val="21"/>
                <w:szCs w:val="21"/>
              </w:rPr>
            </w:pPr>
            <w:r>
              <w:rPr>
                <w:rFonts w:ascii="仿宋" w:hAnsi="仿宋" w:cs="仿宋_GB2312"/>
                <w:spacing w:val="4"/>
                <w:kern w:val="0"/>
                <w:sz w:val="21"/>
                <w:szCs w:val="21"/>
              </w:rPr>
              <w:t>VS code 1.52</w:t>
            </w:r>
          </w:p>
        </w:tc>
        <w:tc>
          <w:tcPr>
            <w:tcW w:w="791" w:type="dxa"/>
          </w:tcPr>
          <w:p>
            <w:pPr>
              <w:kinsoku w:val="0"/>
              <w:overflowPunct w:val="0"/>
              <w:autoSpaceDE w:val="0"/>
              <w:autoSpaceDN w:val="0"/>
              <w:adjustRightInd w:val="0"/>
              <w:spacing w:line="291" w:lineRule="exact"/>
              <w:ind w:firstLine="0" w:firstLineChars="0"/>
              <w:jc w:val="center"/>
              <w:rPr>
                <w:rFonts w:ascii="仿宋" w:hAnsi="仿宋" w:cs="仿宋_GB2312"/>
                <w:spacing w:val="4"/>
                <w:kern w:val="0"/>
                <w:sz w:val="21"/>
                <w:szCs w:val="21"/>
              </w:rPr>
            </w:pPr>
            <w:r>
              <w:rPr>
                <w:rFonts w:ascii="仿宋" w:hAnsi="仿宋" w:cs="仿宋_GB2312"/>
                <w:spacing w:val="4"/>
                <w:kern w:val="0"/>
                <w:sz w:val="21"/>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2" w:hRule="exact"/>
          <w:jc w:val="center"/>
        </w:trPr>
        <w:tc>
          <w:tcPr>
            <w:tcW w:w="709" w:type="dxa"/>
            <w:vAlign w:val="center"/>
          </w:tcPr>
          <w:p>
            <w:pPr>
              <w:spacing w:line="240" w:lineRule="auto"/>
              <w:ind w:firstLine="0" w:firstLineChars="0"/>
              <w:jc w:val="center"/>
              <w:rPr>
                <w:rFonts w:ascii="仿宋" w:hAnsi="仿宋" w:cs="Times New Roman"/>
                <w:sz w:val="21"/>
                <w:szCs w:val="21"/>
              </w:rPr>
            </w:pPr>
            <w:r>
              <w:rPr>
                <w:rFonts w:hint="eastAsia" w:ascii="仿宋" w:hAnsi="仿宋" w:cs="Times New Roman"/>
                <w:sz w:val="21"/>
                <w:szCs w:val="21"/>
              </w:rPr>
              <w:t>9</w:t>
            </w:r>
          </w:p>
        </w:tc>
        <w:tc>
          <w:tcPr>
            <w:tcW w:w="709" w:type="dxa"/>
          </w:tcPr>
          <w:p>
            <w:pPr>
              <w:kinsoku w:val="0"/>
              <w:overflowPunct w:val="0"/>
              <w:autoSpaceDE w:val="0"/>
              <w:autoSpaceDN w:val="0"/>
              <w:adjustRightInd w:val="0"/>
              <w:spacing w:line="292" w:lineRule="exact"/>
              <w:ind w:left="128" w:firstLine="0" w:firstLineChars="0"/>
              <w:jc w:val="left"/>
              <w:rPr>
                <w:rFonts w:ascii="仿宋" w:hAnsi="仿宋" w:cs="仿宋_GB2312"/>
                <w:spacing w:val="4"/>
                <w:kern w:val="0"/>
                <w:sz w:val="21"/>
                <w:szCs w:val="21"/>
              </w:rPr>
            </w:pPr>
            <w:r>
              <w:rPr>
                <w:rFonts w:hint="eastAsia" w:ascii="仿宋" w:hAnsi="仿宋" w:cs="仿宋_GB2312"/>
                <w:spacing w:val="4"/>
                <w:kern w:val="0"/>
                <w:sz w:val="21"/>
                <w:szCs w:val="21"/>
              </w:rPr>
              <w:t>软件</w:t>
            </w:r>
          </w:p>
        </w:tc>
        <w:tc>
          <w:tcPr>
            <w:tcW w:w="5279" w:type="dxa"/>
          </w:tcPr>
          <w:p>
            <w:pPr>
              <w:kinsoku w:val="0"/>
              <w:overflowPunct w:val="0"/>
              <w:autoSpaceDE w:val="0"/>
              <w:autoSpaceDN w:val="0"/>
              <w:adjustRightInd w:val="0"/>
              <w:spacing w:line="292" w:lineRule="exact"/>
              <w:ind w:left="858" w:firstLine="0" w:firstLineChars="0"/>
              <w:jc w:val="center"/>
              <w:rPr>
                <w:rFonts w:ascii="仿宋" w:hAnsi="仿宋" w:cs="仿宋_GB2312"/>
                <w:spacing w:val="4"/>
                <w:kern w:val="0"/>
                <w:sz w:val="21"/>
                <w:szCs w:val="21"/>
              </w:rPr>
            </w:pPr>
            <w:r>
              <w:rPr>
                <w:rFonts w:ascii="仿宋" w:hAnsi="仿宋" w:cs="仿宋_GB2312"/>
                <w:spacing w:val="4"/>
                <w:kern w:val="0"/>
                <w:sz w:val="21"/>
                <w:szCs w:val="21"/>
              </w:rPr>
              <w:t>Internet Information Services</w:t>
            </w:r>
            <w:r>
              <w:rPr>
                <w:rFonts w:hint="eastAsia" w:ascii="仿宋" w:hAnsi="仿宋" w:cs="仿宋_GB2312"/>
                <w:spacing w:val="4"/>
                <w:kern w:val="0"/>
                <w:sz w:val="21"/>
                <w:szCs w:val="21"/>
              </w:rPr>
              <w:t>（</w:t>
            </w:r>
            <w:r>
              <w:rPr>
                <w:rFonts w:ascii="仿宋" w:hAnsi="仿宋" w:cs="仿宋_GB2312"/>
                <w:spacing w:val="4"/>
                <w:kern w:val="0"/>
                <w:sz w:val="21"/>
                <w:szCs w:val="21"/>
              </w:rPr>
              <w:t>IIS</w:t>
            </w:r>
            <w:r>
              <w:rPr>
                <w:rFonts w:hint="eastAsia" w:ascii="仿宋" w:hAnsi="仿宋" w:cs="仿宋_GB2312"/>
                <w:spacing w:val="4"/>
                <w:kern w:val="0"/>
                <w:sz w:val="21"/>
                <w:szCs w:val="21"/>
              </w:rPr>
              <w:t>）</w:t>
            </w:r>
          </w:p>
        </w:tc>
        <w:tc>
          <w:tcPr>
            <w:tcW w:w="791" w:type="dxa"/>
          </w:tcPr>
          <w:p>
            <w:pPr>
              <w:kinsoku w:val="0"/>
              <w:overflowPunct w:val="0"/>
              <w:autoSpaceDE w:val="0"/>
              <w:autoSpaceDN w:val="0"/>
              <w:adjustRightInd w:val="0"/>
              <w:spacing w:line="292" w:lineRule="exact"/>
              <w:ind w:firstLine="0" w:firstLineChars="0"/>
              <w:jc w:val="center"/>
              <w:rPr>
                <w:rFonts w:ascii="仿宋" w:hAnsi="仿宋" w:cs="仿宋_GB2312"/>
                <w:spacing w:val="4"/>
                <w:kern w:val="0"/>
                <w:sz w:val="21"/>
                <w:szCs w:val="21"/>
              </w:rPr>
            </w:pPr>
            <w:r>
              <w:rPr>
                <w:rFonts w:ascii="仿宋" w:hAnsi="仿宋" w:cs="仿宋_GB2312"/>
                <w:spacing w:val="4"/>
                <w:kern w:val="0"/>
                <w:sz w:val="21"/>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2" w:hRule="exact"/>
          <w:jc w:val="center"/>
        </w:trPr>
        <w:tc>
          <w:tcPr>
            <w:tcW w:w="709" w:type="dxa"/>
            <w:vAlign w:val="center"/>
          </w:tcPr>
          <w:p>
            <w:pPr>
              <w:spacing w:line="240" w:lineRule="auto"/>
              <w:ind w:firstLine="0" w:firstLineChars="0"/>
              <w:jc w:val="center"/>
              <w:rPr>
                <w:rFonts w:ascii="仿宋" w:hAnsi="仿宋" w:cs="Times New Roman"/>
                <w:sz w:val="21"/>
                <w:szCs w:val="21"/>
              </w:rPr>
            </w:pPr>
            <w:r>
              <w:rPr>
                <w:rFonts w:hint="eastAsia" w:ascii="仿宋" w:hAnsi="仿宋" w:cs="Times New Roman"/>
                <w:sz w:val="21"/>
                <w:szCs w:val="21"/>
              </w:rPr>
              <w:t>10</w:t>
            </w:r>
          </w:p>
        </w:tc>
        <w:tc>
          <w:tcPr>
            <w:tcW w:w="709" w:type="dxa"/>
          </w:tcPr>
          <w:p>
            <w:pPr>
              <w:kinsoku w:val="0"/>
              <w:overflowPunct w:val="0"/>
              <w:autoSpaceDE w:val="0"/>
              <w:autoSpaceDN w:val="0"/>
              <w:adjustRightInd w:val="0"/>
              <w:spacing w:line="293" w:lineRule="exact"/>
              <w:ind w:left="128" w:firstLine="0" w:firstLineChars="0"/>
              <w:jc w:val="left"/>
              <w:rPr>
                <w:rFonts w:ascii="仿宋" w:hAnsi="仿宋" w:cs="仿宋_GB2312"/>
                <w:spacing w:val="4"/>
                <w:kern w:val="0"/>
                <w:sz w:val="21"/>
                <w:szCs w:val="21"/>
              </w:rPr>
            </w:pPr>
            <w:r>
              <w:rPr>
                <w:rFonts w:hint="eastAsia" w:ascii="仿宋" w:hAnsi="仿宋" w:cs="仿宋_GB2312"/>
                <w:spacing w:val="4"/>
                <w:kern w:val="0"/>
                <w:sz w:val="21"/>
                <w:szCs w:val="21"/>
              </w:rPr>
              <w:t>软件</w:t>
            </w:r>
          </w:p>
        </w:tc>
        <w:tc>
          <w:tcPr>
            <w:tcW w:w="5279" w:type="dxa"/>
          </w:tcPr>
          <w:p>
            <w:pPr>
              <w:kinsoku w:val="0"/>
              <w:overflowPunct w:val="0"/>
              <w:autoSpaceDE w:val="0"/>
              <w:autoSpaceDN w:val="0"/>
              <w:adjustRightInd w:val="0"/>
              <w:spacing w:line="293" w:lineRule="exact"/>
              <w:ind w:right="2" w:firstLine="0" w:firstLineChars="0"/>
              <w:jc w:val="center"/>
              <w:rPr>
                <w:rFonts w:ascii="仿宋" w:hAnsi="仿宋" w:cs="仿宋_GB2312"/>
                <w:spacing w:val="4"/>
                <w:kern w:val="0"/>
                <w:sz w:val="21"/>
                <w:szCs w:val="21"/>
              </w:rPr>
            </w:pPr>
            <w:r>
              <w:rPr>
                <w:rFonts w:ascii="仿宋" w:hAnsi="仿宋" w:cs="仿宋_GB2312"/>
                <w:spacing w:val="4"/>
                <w:kern w:val="0"/>
                <w:sz w:val="21"/>
                <w:szCs w:val="21"/>
              </w:rPr>
              <w:t>SQL Server 2008</w:t>
            </w:r>
          </w:p>
        </w:tc>
        <w:tc>
          <w:tcPr>
            <w:tcW w:w="791" w:type="dxa"/>
          </w:tcPr>
          <w:p>
            <w:pPr>
              <w:kinsoku w:val="0"/>
              <w:overflowPunct w:val="0"/>
              <w:autoSpaceDE w:val="0"/>
              <w:autoSpaceDN w:val="0"/>
              <w:adjustRightInd w:val="0"/>
              <w:spacing w:line="293" w:lineRule="exact"/>
              <w:ind w:firstLine="0" w:firstLineChars="0"/>
              <w:jc w:val="center"/>
              <w:rPr>
                <w:rFonts w:ascii="仿宋" w:hAnsi="仿宋" w:cs="仿宋_GB2312"/>
                <w:spacing w:val="4"/>
                <w:kern w:val="0"/>
                <w:sz w:val="21"/>
                <w:szCs w:val="21"/>
              </w:rPr>
            </w:pPr>
            <w:r>
              <w:rPr>
                <w:rFonts w:ascii="仿宋" w:hAnsi="仿宋" w:cs="仿宋_GB2312"/>
                <w:spacing w:val="4"/>
                <w:kern w:val="0"/>
                <w:sz w:val="21"/>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2" w:hRule="exact"/>
          <w:jc w:val="center"/>
        </w:trPr>
        <w:tc>
          <w:tcPr>
            <w:tcW w:w="709" w:type="dxa"/>
            <w:vAlign w:val="center"/>
          </w:tcPr>
          <w:p>
            <w:pPr>
              <w:spacing w:line="240" w:lineRule="auto"/>
              <w:ind w:firstLine="0" w:firstLineChars="0"/>
              <w:jc w:val="center"/>
              <w:rPr>
                <w:rFonts w:ascii="仿宋" w:hAnsi="仿宋" w:cs="Times New Roman"/>
                <w:sz w:val="21"/>
                <w:szCs w:val="21"/>
              </w:rPr>
            </w:pPr>
            <w:r>
              <w:rPr>
                <w:rFonts w:hint="eastAsia" w:ascii="仿宋" w:hAnsi="仿宋" w:cs="Times New Roman"/>
                <w:sz w:val="21"/>
                <w:szCs w:val="21"/>
              </w:rPr>
              <w:t>11</w:t>
            </w:r>
          </w:p>
        </w:tc>
        <w:tc>
          <w:tcPr>
            <w:tcW w:w="709" w:type="dxa"/>
          </w:tcPr>
          <w:p>
            <w:pPr>
              <w:kinsoku w:val="0"/>
              <w:overflowPunct w:val="0"/>
              <w:autoSpaceDE w:val="0"/>
              <w:autoSpaceDN w:val="0"/>
              <w:adjustRightInd w:val="0"/>
              <w:spacing w:line="291" w:lineRule="exact"/>
              <w:ind w:left="128" w:firstLine="0" w:firstLineChars="0"/>
              <w:jc w:val="left"/>
              <w:rPr>
                <w:rFonts w:ascii="仿宋" w:hAnsi="仿宋" w:cs="仿宋_GB2312"/>
                <w:spacing w:val="4"/>
                <w:kern w:val="0"/>
                <w:sz w:val="21"/>
                <w:szCs w:val="21"/>
              </w:rPr>
            </w:pPr>
            <w:r>
              <w:rPr>
                <w:rFonts w:hint="eastAsia" w:ascii="仿宋" w:hAnsi="仿宋" w:cs="仿宋_GB2312"/>
                <w:spacing w:val="4"/>
                <w:kern w:val="0"/>
                <w:sz w:val="21"/>
                <w:szCs w:val="21"/>
              </w:rPr>
              <w:t>软件</w:t>
            </w:r>
          </w:p>
        </w:tc>
        <w:tc>
          <w:tcPr>
            <w:tcW w:w="5279" w:type="dxa"/>
          </w:tcPr>
          <w:p>
            <w:pPr>
              <w:kinsoku w:val="0"/>
              <w:overflowPunct w:val="0"/>
              <w:autoSpaceDE w:val="0"/>
              <w:autoSpaceDN w:val="0"/>
              <w:adjustRightInd w:val="0"/>
              <w:spacing w:line="291" w:lineRule="exact"/>
              <w:ind w:firstLine="0" w:firstLineChars="0"/>
              <w:jc w:val="center"/>
              <w:rPr>
                <w:rFonts w:ascii="仿宋" w:hAnsi="仿宋" w:cs="仿宋_GB2312"/>
                <w:spacing w:val="4"/>
                <w:kern w:val="0"/>
                <w:sz w:val="21"/>
                <w:szCs w:val="21"/>
              </w:rPr>
            </w:pPr>
            <w:r>
              <w:rPr>
                <w:rFonts w:ascii="仿宋" w:hAnsi="仿宋" w:cs="仿宋_GB2312"/>
                <w:spacing w:val="4"/>
                <w:kern w:val="0"/>
                <w:sz w:val="21"/>
                <w:szCs w:val="21"/>
              </w:rPr>
              <w:t xml:space="preserve">Eclipse </w:t>
            </w:r>
            <w:r>
              <w:rPr>
                <w:rFonts w:hint="eastAsia" w:ascii="仿宋" w:hAnsi="仿宋" w:cs="仿宋_GB2312"/>
                <w:spacing w:val="4"/>
                <w:kern w:val="0"/>
                <w:sz w:val="21"/>
                <w:szCs w:val="21"/>
              </w:rPr>
              <w:t>集成开发环境</w:t>
            </w:r>
          </w:p>
        </w:tc>
        <w:tc>
          <w:tcPr>
            <w:tcW w:w="791" w:type="dxa"/>
          </w:tcPr>
          <w:p>
            <w:pPr>
              <w:kinsoku w:val="0"/>
              <w:overflowPunct w:val="0"/>
              <w:autoSpaceDE w:val="0"/>
              <w:autoSpaceDN w:val="0"/>
              <w:adjustRightInd w:val="0"/>
              <w:spacing w:line="291" w:lineRule="exact"/>
              <w:ind w:firstLine="0" w:firstLineChars="0"/>
              <w:jc w:val="center"/>
              <w:rPr>
                <w:rFonts w:ascii="仿宋" w:hAnsi="仿宋" w:cs="仿宋_GB2312"/>
                <w:spacing w:val="4"/>
                <w:kern w:val="0"/>
                <w:sz w:val="21"/>
                <w:szCs w:val="21"/>
              </w:rPr>
            </w:pPr>
            <w:r>
              <w:rPr>
                <w:rFonts w:ascii="仿宋" w:hAnsi="仿宋" w:cs="仿宋_GB2312"/>
                <w:spacing w:val="4"/>
                <w:kern w:val="0"/>
                <w:sz w:val="21"/>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2" w:hRule="exact"/>
          <w:jc w:val="center"/>
        </w:trPr>
        <w:tc>
          <w:tcPr>
            <w:tcW w:w="709" w:type="dxa"/>
            <w:vAlign w:val="center"/>
          </w:tcPr>
          <w:p>
            <w:pPr>
              <w:spacing w:line="240" w:lineRule="auto"/>
              <w:ind w:firstLine="0" w:firstLineChars="0"/>
              <w:jc w:val="center"/>
              <w:rPr>
                <w:rFonts w:ascii="仿宋" w:hAnsi="仿宋" w:cs="Times New Roman"/>
                <w:sz w:val="21"/>
                <w:szCs w:val="21"/>
              </w:rPr>
            </w:pPr>
            <w:r>
              <w:rPr>
                <w:rFonts w:hint="eastAsia" w:ascii="仿宋" w:hAnsi="仿宋" w:cs="Times New Roman"/>
                <w:sz w:val="21"/>
                <w:szCs w:val="21"/>
              </w:rPr>
              <w:t>12</w:t>
            </w:r>
          </w:p>
        </w:tc>
        <w:tc>
          <w:tcPr>
            <w:tcW w:w="709" w:type="dxa"/>
          </w:tcPr>
          <w:p>
            <w:pPr>
              <w:kinsoku w:val="0"/>
              <w:overflowPunct w:val="0"/>
              <w:autoSpaceDE w:val="0"/>
              <w:autoSpaceDN w:val="0"/>
              <w:adjustRightInd w:val="0"/>
              <w:spacing w:line="292" w:lineRule="exact"/>
              <w:ind w:left="128" w:firstLine="0" w:firstLineChars="0"/>
              <w:jc w:val="left"/>
              <w:rPr>
                <w:rFonts w:ascii="仿宋" w:hAnsi="仿宋" w:cs="仿宋_GB2312"/>
                <w:spacing w:val="4"/>
                <w:kern w:val="0"/>
                <w:sz w:val="21"/>
                <w:szCs w:val="21"/>
              </w:rPr>
            </w:pPr>
            <w:r>
              <w:rPr>
                <w:rFonts w:hint="eastAsia" w:ascii="仿宋" w:hAnsi="仿宋" w:cs="仿宋_GB2312"/>
                <w:spacing w:val="4"/>
                <w:kern w:val="0"/>
                <w:sz w:val="21"/>
                <w:szCs w:val="21"/>
              </w:rPr>
              <w:t>软件</w:t>
            </w:r>
          </w:p>
        </w:tc>
        <w:tc>
          <w:tcPr>
            <w:tcW w:w="5279" w:type="dxa"/>
          </w:tcPr>
          <w:p>
            <w:pPr>
              <w:kinsoku w:val="0"/>
              <w:overflowPunct w:val="0"/>
              <w:autoSpaceDE w:val="0"/>
              <w:autoSpaceDN w:val="0"/>
              <w:adjustRightInd w:val="0"/>
              <w:spacing w:line="292" w:lineRule="exact"/>
              <w:ind w:left="328" w:firstLine="0" w:firstLineChars="0"/>
              <w:jc w:val="left"/>
              <w:rPr>
                <w:rFonts w:ascii="仿宋" w:hAnsi="仿宋" w:cs="仿宋_GB2312"/>
                <w:spacing w:val="4"/>
                <w:kern w:val="0"/>
                <w:sz w:val="21"/>
                <w:szCs w:val="21"/>
              </w:rPr>
            </w:pPr>
            <w:r>
              <w:rPr>
                <w:rFonts w:hint="eastAsia" w:ascii="仿宋" w:hAnsi="仿宋" w:cs="仿宋_GB2312"/>
                <w:spacing w:val="4"/>
                <w:kern w:val="0"/>
                <w:sz w:val="21"/>
                <w:szCs w:val="21"/>
              </w:rPr>
              <w:t>调试软件包、网络扫描、侦听工具、串口调试助手等</w:t>
            </w:r>
          </w:p>
        </w:tc>
        <w:tc>
          <w:tcPr>
            <w:tcW w:w="791" w:type="dxa"/>
          </w:tcPr>
          <w:p>
            <w:pPr>
              <w:kinsoku w:val="0"/>
              <w:overflowPunct w:val="0"/>
              <w:autoSpaceDE w:val="0"/>
              <w:autoSpaceDN w:val="0"/>
              <w:adjustRightInd w:val="0"/>
              <w:spacing w:line="292" w:lineRule="exact"/>
              <w:ind w:firstLine="0" w:firstLineChars="0"/>
              <w:jc w:val="center"/>
              <w:rPr>
                <w:rFonts w:ascii="仿宋" w:hAnsi="仿宋" w:cs="仿宋_GB2312"/>
                <w:spacing w:val="4"/>
                <w:kern w:val="0"/>
                <w:sz w:val="21"/>
                <w:szCs w:val="21"/>
              </w:rPr>
            </w:pPr>
            <w:r>
              <w:rPr>
                <w:rFonts w:ascii="仿宋" w:hAnsi="仿宋" w:cs="仿宋_GB2312"/>
                <w:spacing w:val="4"/>
                <w:kern w:val="0"/>
                <w:sz w:val="21"/>
                <w:szCs w:val="21"/>
              </w:rPr>
              <w:t>1</w:t>
            </w:r>
          </w:p>
        </w:tc>
      </w:tr>
    </w:tbl>
    <w:p>
      <w:pPr>
        <w:autoSpaceDE w:val="0"/>
        <w:autoSpaceDN w:val="0"/>
        <w:spacing w:line="500" w:lineRule="exact"/>
        <w:ind w:firstLine="448"/>
        <w:rPr>
          <w:rFonts w:ascii="仿宋" w:hAnsi="仿宋" w:cs="Times New Roman"/>
          <w:spacing w:val="-8"/>
          <w:kern w:val="0"/>
          <w:szCs w:val="24"/>
        </w:rPr>
      </w:pPr>
      <w:r>
        <w:rPr>
          <w:rFonts w:hint="eastAsia" w:ascii="仿宋" w:hAnsi="仿宋" w:cs="Times New Roman"/>
          <w:spacing w:val="-8"/>
          <w:kern w:val="0"/>
          <w:szCs w:val="24"/>
        </w:rPr>
        <w:t>（五）现场需要配备的技术支持、志愿者、工作人员的要求及数量等</w:t>
      </w:r>
    </w:p>
    <w:p>
      <w:pPr>
        <w:autoSpaceDE w:val="0"/>
        <w:autoSpaceDN w:val="0"/>
        <w:spacing w:line="500" w:lineRule="exact"/>
        <w:ind w:firstLine="448"/>
        <w:rPr>
          <w:rFonts w:ascii="仿宋" w:hAnsi="仿宋" w:cs="Times New Roman"/>
          <w:spacing w:val="-8"/>
          <w:kern w:val="0"/>
          <w:szCs w:val="24"/>
        </w:rPr>
      </w:pPr>
      <w:r>
        <w:rPr>
          <w:rFonts w:hint="eastAsia" w:ascii="仿宋" w:hAnsi="仿宋" w:cs="Times New Roman"/>
          <w:spacing w:val="-8"/>
          <w:kern w:val="0"/>
          <w:szCs w:val="24"/>
        </w:rPr>
        <w:t>竞赛现场配备技术支持</w:t>
      </w:r>
      <w:r>
        <w:rPr>
          <w:rFonts w:ascii="仿宋" w:hAnsi="仿宋" w:cs="Times New Roman"/>
          <w:spacing w:val="-8"/>
          <w:kern w:val="0"/>
          <w:szCs w:val="24"/>
        </w:rPr>
        <w:t>3-4</w:t>
      </w:r>
      <w:r>
        <w:rPr>
          <w:rFonts w:hint="eastAsia" w:ascii="仿宋" w:hAnsi="仿宋" w:cs="Times New Roman"/>
          <w:spacing w:val="-8"/>
          <w:kern w:val="0"/>
          <w:szCs w:val="24"/>
        </w:rPr>
        <w:t>个，志愿者和工作人员数量根据实际需求配备。</w:t>
      </w:r>
    </w:p>
    <w:p>
      <w:pPr>
        <w:ind w:left="480" w:leftChars="200" w:firstLine="0" w:firstLineChars="0"/>
        <w:rPr>
          <w:rFonts w:ascii="仿宋" w:hAnsi="仿宋" w:cs="仿宋"/>
          <w:b/>
          <w:color w:val="FF0000"/>
          <w:szCs w:val="24"/>
        </w:rPr>
      </w:pPr>
      <w:r>
        <w:rPr>
          <w:rFonts w:hint="eastAsia" w:ascii="仿宋" w:hAnsi="仿宋" w:cs="仿宋"/>
          <w:b/>
          <w:szCs w:val="24"/>
        </w:rPr>
        <w:t>十一、成绩评定</w:t>
      </w:r>
    </w:p>
    <w:p>
      <w:pPr>
        <w:autoSpaceDE w:val="0"/>
        <w:autoSpaceDN w:val="0"/>
        <w:spacing w:line="500" w:lineRule="exact"/>
        <w:ind w:firstLine="480"/>
        <w:rPr>
          <w:rFonts w:ascii="仿宋" w:hAnsi="仿宋" w:cs="Times New Roman"/>
          <w:kern w:val="0"/>
          <w:szCs w:val="24"/>
        </w:rPr>
      </w:pPr>
      <w:r>
        <w:rPr>
          <w:rFonts w:ascii="仿宋" w:hAnsi="仿宋" w:cs="Times New Roman"/>
          <w:kern w:val="0"/>
          <w:szCs w:val="24"/>
        </w:rPr>
        <w:t>（一）评分方法</w:t>
      </w:r>
    </w:p>
    <w:p>
      <w:pPr>
        <w:autoSpaceDE w:val="0"/>
        <w:autoSpaceDN w:val="0"/>
        <w:spacing w:line="500" w:lineRule="exact"/>
        <w:ind w:firstLine="480"/>
        <w:rPr>
          <w:rFonts w:ascii="仿宋" w:hAnsi="仿宋" w:cs="Times New Roman"/>
          <w:kern w:val="0"/>
          <w:szCs w:val="24"/>
        </w:rPr>
      </w:pPr>
      <w:r>
        <w:rPr>
          <w:rFonts w:ascii="仿宋" w:hAnsi="仿宋" w:cs="Times New Roman"/>
          <w:kern w:val="0"/>
          <w:szCs w:val="24"/>
        </w:rPr>
        <w:t>1.裁判队伍组成</w:t>
      </w:r>
    </w:p>
    <w:p>
      <w:pPr>
        <w:autoSpaceDE w:val="0"/>
        <w:autoSpaceDN w:val="0"/>
        <w:spacing w:line="500" w:lineRule="exact"/>
        <w:ind w:firstLine="448"/>
        <w:rPr>
          <w:rFonts w:ascii="仿宋" w:hAnsi="仿宋" w:cs="Times New Roman"/>
          <w:b/>
          <w:bCs/>
          <w:kern w:val="0"/>
          <w:szCs w:val="24"/>
        </w:rPr>
      </w:pPr>
      <w:r>
        <w:rPr>
          <w:rFonts w:ascii="仿宋" w:hAnsi="仿宋" w:cs="Times New Roman"/>
          <w:spacing w:val="-8"/>
          <w:kern w:val="0"/>
          <w:szCs w:val="24"/>
        </w:rPr>
        <w:t>成绩评定实行裁判长负责制，裁判组独立完成成绩评定工作。由竞赛裁判经验丰富的人员组成，</w:t>
      </w:r>
      <w:r>
        <w:rPr>
          <w:rFonts w:ascii="仿宋" w:hAnsi="仿宋" w:cs="Times New Roman"/>
          <w:spacing w:val="-13"/>
          <w:kern w:val="0"/>
          <w:szCs w:val="24"/>
        </w:rPr>
        <w:t>具体</w:t>
      </w:r>
      <w:r>
        <w:rPr>
          <w:rFonts w:hint="eastAsia" w:ascii="仿宋" w:hAnsi="仿宋" w:cs="Times New Roman"/>
          <w:spacing w:val="-13"/>
          <w:kern w:val="0"/>
          <w:szCs w:val="24"/>
        </w:rPr>
        <w:t>组成和</w:t>
      </w:r>
      <w:r>
        <w:rPr>
          <w:rFonts w:ascii="仿宋" w:hAnsi="仿宋" w:cs="Times New Roman"/>
          <w:spacing w:val="-13"/>
          <w:kern w:val="0"/>
          <w:szCs w:val="24"/>
        </w:rPr>
        <w:t>要求如下表</w:t>
      </w:r>
      <w:r>
        <w:rPr>
          <w:rFonts w:hint="eastAsia" w:ascii="仿宋" w:hAnsi="仿宋" w:cs="Times New Roman"/>
          <w:kern w:val="0"/>
          <w:szCs w:val="24"/>
        </w:rPr>
        <w:t>。</w:t>
      </w:r>
    </w:p>
    <w:p>
      <w:pPr>
        <w:tabs>
          <w:tab w:val="left" w:pos="3834"/>
        </w:tabs>
        <w:autoSpaceDE w:val="0"/>
        <w:autoSpaceDN w:val="0"/>
        <w:spacing w:line="358" w:lineRule="exact"/>
        <w:ind w:firstLine="422"/>
        <w:jc w:val="center"/>
        <w:outlineLvl w:val="1"/>
        <w:rPr>
          <w:rFonts w:ascii="仿宋" w:hAnsi="仿宋" w:cs="Times New Roman"/>
          <w:b/>
          <w:bCs/>
          <w:kern w:val="0"/>
          <w:sz w:val="21"/>
          <w:szCs w:val="21"/>
        </w:rPr>
      </w:pPr>
      <w:r>
        <w:rPr>
          <w:rFonts w:ascii="仿宋" w:hAnsi="仿宋" w:cs="Times New Roman"/>
          <w:b/>
          <w:bCs/>
          <w:kern w:val="0"/>
          <w:sz w:val="21"/>
          <w:szCs w:val="21"/>
        </w:rPr>
        <w:t>裁判员</w:t>
      </w:r>
      <w:r>
        <w:rPr>
          <w:rFonts w:hint="eastAsia" w:ascii="仿宋" w:hAnsi="仿宋" w:cs="Times New Roman"/>
          <w:b/>
          <w:bCs/>
          <w:kern w:val="0"/>
          <w:sz w:val="21"/>
          <w:szCs w:val="21"/>
        </w:rPr>
        <w:t>组成与</w:t>
      </w:r>
      <w:r>
        <w:rPr>
          <w:rFonts w:ascii="仿宋" w:hAnsi="仿宋" w:cs="Times New Roman"/>
          <w:b/>
          <w:bCs/>
          <w:kern w:val="0"/>
          <w:sz w:val="21"/>
          <w:szCs w:val="21"/>
        </w:rPr>
        <w:t>执裁资格要求</w:t>
      </w:r>
    </w:p>
    <w:tbl>
      <w:tblPr>
        <w:tblStyle w:val="12"/>
        <w:tblW w:w="78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09"/>
        <w:gridCol w:w="1134"/>
        <w:gridCol w:w="1843"/>
        <w:gridCol w:w="1714"/>
        <w:gridCol w:w="1659"/>
        <w:gridCol w:w="77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20" w:hRule="atLeast"/>
          <w:jc w:val="center"/>
        </w:trPr>
        <w:tc>
          <w:tcPr>
            <w:tcW w:w="709" w:type="dxa"/>
            <w:tcBorders>
              <w:bottom w:val="single" w:color="000000" w:sz="4" w:space="0"/>
              <w:right w:val="single" w:color="000000" w:sz="4" w:space="0"/>
            </w:tcBorders>
            <w:vAlign w:val="center"/>
          </w:tcPr>
          <w:p>
            <w:pPr>
              <w:autoSpaceDE w:val="0"/>
              <w:autoSpaceDN w:val="0"/>
              <w:ind w:firstLine="0" w:firstLineChars="0"/>
              <w:jc w:val="center"/>
              <w:rPr>
                <w:rFonts w:ascii="仿宋" w:hAnsi="仿宋" w:cs="Times New Roman"/>
                <w:b/>
                <w:kern w:val="0"/>
                <w:sz w:val="21"/>
                <w:szCs w:val="21"/>
                <w:lang w:eastAsia="en-US"/>
              </w:rPr>
            </w:pPr>
            <w:r>
              <w:rPr>
                <w:rFonts w:ascii="仿宋" w:hAnsi="仿宋" w:cs="Times New Roman"/>
                <w:b/>
                <w:kern w:val="0"/>
                <w:sz w:val="21"/>
                <w:szCs w:val="21"/>
                <w:lang w:eastAsia="en-US"/>
              </w:rPr>
              <w:t>序号</w:t>
            </w:r>
          </w:p>
        </w:tc>
        <w:tc>
          <w:tcPr>
            <w:tcW w:w="1134" w:type="dxa"/>
            <w:tcBorders>
              <w:left w:val="single" w:color="000000" w:sz="4" w:space="0"/>
              <w:bottom w:val="single" w:color="000000" w:sz="4" w:space="0"/>
              <w:right w:val="single" w:color="000000" w:sz="4" w:space="0"/>
            </w:tcBorders>
            <w:vAlign w:val="center"/>
          </w:tcPr>
          <w:p>
            <w:pPr>
              <w:autoSpaceDE w:val="0"/>
              <w:autoSpaceDN w:val="0"/>
              <w:ind w:firstLine="0" w:firstLineChars="0"/>
              <w:jc w:val="center"/>
              <w:rPr>
                <w:rFonts w:ascii="仿宋" w:hAnsi="仿宋" w:cs="Times New Roman"/>
                <w:b/>
                <w:kern w:val="0"/>
                <w:sz w:val="21"/>
                <w:szCs w:val="21"/>
              </w:rPr>
            </w:pPr>
            <w:r>
              <w:rPr>
                <w:rFonts w:ascii="仿宋" w:hAnsi="仿宋" w:cs="Times New Roman"/>
                <w:b/>
                <w:kern w:val="0"/>
                <w:sz w:val="21"/>
                <w:szCs w:val="21"/>
              </w:rPr>
              <w:t>裁判员</w:t>
            </w:r>
            <w:r>
              <w:rPr>
                <w:rFonts w:hint="eastAsia" w:ascii="仿宋" w:hAnsi="仿宋" w:cs="Times New Roman"/>
                <w:b/>
                <w:kern w:val="0"/>
                <w:sz w:val="21"/>
                <w:szCs w:val="21"/>
              </w:rPr>
              <w:t>类别</w:t>
            </w:r>
          </w:p>
        </w:tc>
        <w:tc>
          <w:tcPr>
            <w:tcW w:w="1843" w:type="dxa"/>
            <w:tcBorders>
              <w:left w:val="single" w:color="000000" w:sz="4" w:space="0"/>
              <w:bottom w:val="single" w:color="000000" w:sz="4" w:space="0"/>
              <w:right w:val="single" w:color="000000" w:sz="4" w:space="0"/>
            </w:tcBorders>
            <w:vAlign w:val="center"/>
          </w:tcPr>
          <w:p>
            <w:pPr>
              <w:autoSpaceDE w:val="0"/>
              <w:autoSpaceDN w:val="0"/>
              <w:ind w:firstLine="0" w:firstLineChars="0"/>
              <w:jc w:val="center"/>
              <w:rPr>
                <w:rFonts w:ascii="仿宋" w:hAnsi="仿宋" w:cs="Times New Roman"/>
                <w:b/>
                <w:kern w:val="0"/>
                <w:sz w:val="21"/>
                <w:szCs w:val="21"/>
                <w:lang w:eastAsia="en-US"/>
              </w:rPr>
            </w:pPr>
            <w:r>
              <w:rPr>
                <w:rFonts w:ascii="仿宋" w:hAnsi="仿宋" w:cs="Times New Roman"/>
                <w:b/>
                <w:kern w:val="0"/>
                <w:sz w:val="21"/>
                <w:szCs w:val="21"/>
                <w:lang w:eastAsia="en-US"/>
              </w:rPr>
              <w:t>知识能力要求</w:t>
            </w:r>
          </w:p>
        </w:tc>
        <w:tc>
          <w:tcPr>
            <w:tcW w:w="1714" w:type="dxa"/>
            <w:tcBorders>
              <w:left w:val="single" w:color="000000" w:sz="4" w:space="0"/>
              <w:bottom w:val="single" w:color="000000" w:sz="4" w:space="0"/>
              <w:right w:val="single" w:color="000000" w:sz="4" w:space="0"/>
            </w:tcBorders>
            <w:vAlign w:val="center"/>
          </w:tcPr>
          <w:p>
            <w:pPr>
              <w:autoSpaceDE w:val="0"/>
              <w:autoSpaceDN w:val="0"/>
              <w:ind w:firstLine="0" w:firstLineChars="0"/>
              <w:jc w:val="center"/>
              <w:rPr>
                <w:rFonts w:ascii="仿宋" w:hAnsi="仿宋" w:cs="Times New Roman"/>
                <w:b/>
                <w:kern w:val="0"/>
                <w:sz w:val="21"/>
                <w:szCs w:val="21"/>
              </w:rPr>
            </w:pPr>
            <w:r>
              <w:rPr>
                <w:rFonts w:ascii="仿宋" w:hAnsi="仿宋" w:cs="Times New Roman"/>
                <w:b/>
                <w:w w:val="95"/>
                <w:kern w:val="0"/>
                <w:sz w:val="21"/>
                <w:szCs w:val="21"/>
              </w:rPr>
              <w:t>工</w:t>
            </w:r>
            <w:r>
              <w:rPr>
                <w:rFonts w:ascii="仿宋" w:hAnsi="仿宋" w:cs="Times New Roman"/>
                <w:b/>
                <w:kern w:val="0"/>
                <w:sz w:val="21"/>
                <w:szCs w:val="21"/>
              </w:rPr>
              <w:t>作经历</w:t>
            </w:r>
          </w:p>
        </w:tc>
        <w:tc>
          <w:tcPr>
            <w:tcW w:w="1659" w:type="dxa"/>
            <w:tcBorders>
              <w:left w:val="single" w:color="000000" w:sz="4" w:space="0"/>
              <w:bottom w:val="single" w:color="000000" w:sz="4" w:space="0"/>
              <w:right w:val="single" w:color="000000" w:sz="4" w:space="0"/>
            </w:tcBorders>
            <w:vAlign w:val="center"/>
          </w:tcPr>
          <w:p>
            <w:pPr>
              <w:autoSpaceDE w:val="0"/>
              <w:autoSpaceDN w:val="0"/>
              <w:ind w:firstLine="0" w:firstLineChars="0"/>
              <w:jc w:val="center"/>
              <w:rPr>
                <w:rFonts w:ascii="仿宋" w:hAnsi="仿宋" w:cs="Times New Roman"/>
                <w:b/>
                <w:kern w:val="0"/>
                <w:sz w:val="21"/>
                <w:szCs w:val="21"/>
              </w:rPr>
            </w:pPr>
            <w:r>
              <w:rPr>
                <w:rFonts w:ascii="仿宋" w:hAnsi="仿宋" w:cs="Times New Roman"/>
                <w:b/>
                <w:kern w:val="0"/>
                <w:sz w:val="21"/>
                <w:szCs w:val="21"/>
              </w:rPr>
              <w:t>专业技术职称</w:t>
            </w:r>
          </w:p>
          <w:p>
            <w:pPr>
              <w:autoSpaceDE w:val="0"/>
              <w:autoSpaceDN w:val="0"/>
              <w:ind w:firstLine="0" w:firstLineChars="0"/>
              <w:jc w:val="center"/>
              <w:rPr>
                <w:rFonts w:ascii="仿宋" w:hAnsi="仿宋" w:cs="Times New Roman"/>
                <w:b/>
                <w:kern w:val="0"/>
                <w:sz w:val="21"/>
                <w:szCs w:val="21"/>
              </w:rPr>
            </w:pPr>
            <w:r>
              <w:rPr>
                <w:rFonts w:hint="eastAsia" w:ascii="仿宋" w:hAnsi="仿宋" w:cs="Times New Roman"/>
                <w:b/>
                <w:kern w:val="0"/>
                <w:sz w:val="21"/>
                <w:szCs w:val="21"/>
              </w:rPr>
              <w:t>或资格</w:t>
            </w:r>
            <w:r>
              <w:rPr>
                <w:rFonts w:ascii="仿宋" w:hAnsi="仿宋" w:cs="Times New Roman"/>
                <w:b/>
                <w:kern w:val="0"/>
                <w:sz w:val="21"/>
                <w:szCs w:val="21"/>
              </w:rPr>
              <w:t>等级</w:t>
            </w:r>
          </w:p>
        </w:tc>
        <w:tc>
          <w:tcPr>
            <w:tcW w:w="779" w:type="dxa"/>
            <w:tcBorders>
              <w:left w:val="single" w:color="000000" w:sz="4" w:space="0"/>
              <w:bottom w:val="single" w:color="000000" w:sz="4" w:space="0"/>
            </w:tcBorders>
            <w:vAlign w:val="center"/>
          </w:tcPr>
          <w:p>
            <w:pPr>
              <w:autoSpaceDE w:val="0"/>
              <w:autoSpaceDN w:val="0"/>
              <w:ind w:firstLine="0" w:firstLineChars="0"/>
              <w:jc w:val="center"/>
              <w:rPr>
                <w:rFonts w:ascii="仿宋" w:hAnsi="仿宋" w:cs="Times New Roman"/>
                <w:b/>
                <w:kern w:val="0"/>
                <w:sz w:val="21"/>
                <w:szCs w:val="21"/>
                <w:lang w:eastAsia="en-US"/>
              </w:rPr>
            </w:pPr>
            <w:r>
              <w:rPr>
                <w:rFonts w:ascii="仿宋" w:hAnsi="仿宋" w:cs="Times New Roman"/>
                <w:b/>
                <w:kern w:val="0"/>
                <w:sz w:val="21"/>
                <w:szCs w:val="21"/>
                <w:lang w:eastAsia="en-US"/>
              </w:rPr>
              <w:t>人数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0" w:hRule="atLeast"/>
          <w:jc w:val="center"/>
        </w:trPr>
        <w:tc>
          <w:tcPr>
            <w:tcW w:w="709" w:type="dxa"/>
            <w:tcBorders>
              <w:top w:val="single" w:color="000000" w:sz="4" w:space="0"/>
              <w:bottom w:val="single" w:color="000000" w:sz="4" w:space="0"/>
              <w:right w:val="single" w:color="000000" w:sz="4" w:space="0"/>
            </w:tcBorders>
            <w:vAlign w:val="center"/>
          </w:tcPr>
          <w:p>
            <w:pPr>
              <w:autoSpaceDE w:val="0"/>
              <w:autoSpaceDN w:val="0"/>
              <w:ind w:firstLine="0" w:firstLineChars="0"/>
              <w:jc w:val="center"/>
              <w:rPr>
                <w:rFonts w:ascii="仿宋" w:hAnsi="仿宋" w:cs="Times New Roman"/>
                <w:kern w:val="0"/>
                <w:sz w:val="21"/>
                <w:szCs w:val="21"/>
                <w:lang w:eastAsia="en-US"/>
              </w:rPr>
            </w:pPr>
            <w:r>
              <w:rPr>
                <w:rFonts w:ascii="仿宋" w:hAnsi="仿宋" w:cs="Times New Roman"/>
                <w:w w:val="82"/>
                <w:kern w:val="0"/>
                <w:sz w:val="21"/>
                <w:szCs w:val="21"/>
                <w:lang w:eastAsia="en-US"/>
              </w:rPr>
              <w:t>1</w:t>
            </w:r>
          </w:p>
        </w:tc>
        <w:tc>
          <w:tcPr>
            <w:tcW w:w="1134"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firstLine="0" w:firstLineChars="0"/>
              <w:jc w:val="center"/>
              <w:rPr>
                <w:rFonts w:ascii="仿宋" w:hAnsi="仿宋" w:cs="Times New Roman"/>
                <w:kern w:val="0"/>
                <w:sz w:val="21"/>
                <w:szCs w:val="21"/>
              </w:rPr>
            </w:pPr>
            <w:r>
              <w:rPr>
                <w:rFonts w:hint="eastAsia" w:ascii="仿宋" w:hAnsi="仿宋" w:cs="Times New Roman"/>
                <w:kern w:val="0"/>
                <w:sz w:val="21"/>
                <w:szCs w:val="21"/>
              </w:rPr>
              <w:t>加密裁判</w:t>
            </w:r>
          </w:p>
        </w:tc>
        <w:tc>
          <w:tcPr>
            <w:tcW w:w="1843" w:type="dxa"/>
            <w:vMerge w:val="restart"/>
            <w:tcBorders>
              <w:top w:val="single" w:color="000000" w:sz="4" w:space="0"/>
              <w:left w:val="single" w:color="000000" w:sz="4" w:space="0"/>
              <w:right w:val="single" w:color="000000" w:sz="4" w:space="0"/>
            </w:tcBorders>
            <w:vAlign w:val="center"/>
          </w:tcPr>
          <w:p>
            <w:pPr>
              <w:autoSpaceDE w:val="0"/>
              <w:autoSpaceDN w:val="0"/>
              <w:ind w:firstLine="0" w:firstLineChars="0"/>
              <w:jc w:val="center"/>
              <w:rPr>
                <w:rFonts w:ascii="仿宋" w:hAnsi="仿宋" w:cs="Times New Roman"/>
                <w:kern w:val="0"/>
                <w:sz w:val="21"/>
                <w:szCs w:val="21"/>
              </w:rPr>
            </w:pPr>
            <w:r>
              <w:rPr>
                <w:rFonts w:hint="eastAsia" w:ascii="仿宋" w:hAnsi="仿宋" w:cs="Times New Roman"/>
                <w:kern w:val="0"/>
                <w:sz w:val="21"/>
                <w:szCs w:val="21"/>
              </w:rPr>
              <w:t>具有电子信息类相关专业本科以上学历</w:t>
            </w:r>
          </w:p>
        </w:tc>
        <w:tc>
          <w:tcPr>
            <w:tcW w:w="1714" w:type="dxa"/>
            <w:vMerge w:val="restart"/>
            <w:tcBorders>
              <w:top w:val="single" w:color="000000" w:sz="4" w:space="0"/>
              <w:left w:val="single" w:color="000000" w:sz="4" w:space="0"/>
              <w:right w:val="single" w:color="000000" w:sz="4" w:space="0"/>
            </w:tcBorders>
            <w:vAlign w:val="center"/>
          </w:tcPr>
          <w:p>
            <w:pPr>
              <w:autoSpaceDE w:val="0"/>
              <w:autoSpaceDN w:val="0"/>
              <w:ind w:firstLine="0" w:firstLineChars="0"/>
              <w:jc w:val="center"/>
              <w:rPr>
                <w:rFonts w:ascii="仿宋" w:hAnsi="仿宋" w:cs="Times New Roman"/>
                <w:kern w:val="0"/>
                <w:sz w:val="21"/>
                <w:szCs w:val="21"/>
              </w:rPr>
            </w:pPr>
            <w:r>
              <w:rPr>
                <w:rFonts w:hint="eastAsia" w:ascii="仿宋" w:hAnsi="仿宋" w:cs="Times New Roman"/>
                <w:kern w:val="0"/>
                <w:sz w:val="21"/>
                <w:szCs w:val="21"/>
              </w:rPr>
              <w:t>具有市级以上技能大赛裁判经历</w:t>
            </w:r>
          </w:p>
        </w:tc>
        <w:tc>
          <w:tcPr>
            <w:tcW w:w="1659" w:type="dxa"/>
            <w:vMerge w:val="restart"/>
            <w:tcBorders>
              <w:top w:val="single" w:color="000000" w:sz="4" w:space="0"/>
              <w:left w:val="single" w:color="000000" w:sz="4" w:space="0"/>
              <w:right w:val="single" w:color="000000" w:sz="4" w:space="0"/>
            </w:tcBorders>
            <w:vAlign w:val="center"/>
          </w:tcPr>
          <w:p>
            <w:pPr>
              <w:autoSpaceDE w:val="0"/>
              <w:autoSpaceDN w:val="0"/>
              <w:ind w:firstLine="0" w:firstLineChars="0"/>
              <w:jc w:val="center"/>
              <w:rPr>
                <w:rFonts w:ascii="仿宋" w:hAnsi="仿宋" w:cs="Times New Roman"/>
                <w:bCs/>
                <w:kern w:val="0"/>
                <w:sz w:val="21"/>
                <w:szCs w:val="21"/>
              </w:rPr>
            </w:pPr>
            <w:r>
              <w:rPr>
                <w:rFonts w:hint="eastAsia" w:ascii="仿宋" w:hAnsi="仿宋" w:cs="Times New Roman"/>
                <w:kern w:val="0"/>
                <w:sz w:val="21"/>
                <w:szCs w:val="21"/>
              </w:rPr>
              <w:t>具有中级以上</w:t>
            </w:r>
            <w:r>
              <w:rPr>
                <w:rFonts w:ascii="仿宋" w:hAnsi="仿宋" w:cs="Times New Roman"/>
                <w:bCs/>
                <w:kern w:val="0"/>
                <w:sz w:val="21"/>
                <w:szCs w:val="21"/>
              </w:rPr>
              <w:t>专业技术职称</w:t>
            </w:r>
          </w:p>
        </w:tc>
        <w:tc>
          <w:tcPr>
            <w:tcW w:w="779" w:type="dxa"/>
            <w:tcBorders>
              <w:top w:val="single" w:color="000000" w:sz="4" w:space="0"/>
              <w:left w:val="single" w:color="000000" w:sz="4" w:space="0"/>
              <w:bottom w:val="single" w:color="000000" w:sz="4" w:space="0"/>
            </w:tcBorders>
            <w:vAlign w:val="center"/>
          </w:tcPr>
          <w:p>
            <w:pPr>
              <w:autoSpaceDE w:val="0"/>
              <w:autoSpaceDN w:val="0"/>
              <w:ind w:firstLine="0" w:firstLineChars="0"/>
              <w:jc w:val="center"/>
              <w:rPr>
                <w:rFonts w:ascii="仿宋" w:hAnsi="仿宋" w:cs="Times New Roman"/>
                <w:kern w:val="0"/>
                <w:sz w:val="21"/>
                <w:szCs w:val="21"/>
              </w:rPr>
            </w:pPr>
            <w:r>
              <w:rPr>
                <w:rFonts w:hint="eastAsia" w:ascii="仿宋" w:hAnsi="仿宋" w:cs="Times New Roman"/>
                <w:kern w:val="0"/>
                <w:sz w:val="21"/>
                <w:szCs w:val="21"/>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jc w:val="center"/>
        </w:trPr>
        <w:tc>
          <w:tcPr>
            <w:tcW w:w="709" w:type="dxa"/>
            <w:tcBorders>
              <w:top w:val="single" w:color="000000" w:sz="4" w:space="0"/>
              <w:bottom w:val="single" w:color="000000" w:sz="4" w:space="0"/>
              <w:right w:val="single" w:color="000000" w:sz="4" w:space="0"/>
            </w:tcBorders>
            <w:vAlign w:val="center"/>
          </w:tcPr>
          <w:p>
            <w:pPr>
              <w:autoSpaceDE w:val="0"/>
              <w:autoSpaceDN w:val="0"/>
              <w:ind w:firstLine="0" w:firstLineChars="0"/>
              <w:jc w:val="center"/>
              <w:rPr>
                <w:rFonts w:ascii="仿宋" w:hAnsi="仿宋" w:cs="Times New Roman"/>
                <w:b/>
                <w:kern w:val="0"/>
                <w:sz w:val="21"/>
                <w:szCs w:val="21"/>
              </w:rPr>
            </w:pPr>
            <w:r>
              <w:rPr>
                <w:rFonts w:hint="eastAsia" w:ascii="仿宋" w:hAnsi="仿宋" w:cs="Times New Roman"/>
                <w:bCs/>
                <w:kern w:val="0"/>
                <w:sz w:val="21"/>
                <w:szCs w:val="21"/>
              </w:rPr>
              <w:t>2</w:t>
            </w:r>
          </w:p>
        </w:tc>
        <w:tc>
          <w:tcPr>
            <w:tcW w:w="1134"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firstLine="0" w:firstLineChars="0"/>
              <w:jc w:val="center"/>
              <w:rPr>
                <w:rFonts w:ascii="仿宋" w:hAnsi="仿宋" w:cs="Times New Roman"/>
                <w:kern w:val="0"/>
                <w:sz w:val="21"/>
                <w:szCs w:val="21"/>
              </w:rPr>
            </w:pPr>
            <w:r>
              <w:rPr>
                <w:rFonts w:hint="eastAsia" w:ascii="仿宋" w:hAnsi="仿宋" w:cs="Times New Roman"/>
                <w:kern w:val="0"/>
                <w:sz w:val="21"/>
                <w:szCs w:val="21"/>
              </w:rPr>
              <w:t>现场裁判</w:t>
            </w:r>
          </w:p>
        </w:tc>
        <w:tc>
          <w:tcPr>
            <w:tcW w:w="1843" w:type="dxa"/>
            <w:vMerge w:val="continue"/>
            <w:tcBorders>
              <w:left w:val="single" w:color="000000" w:sz="4" w:space="0"/>
              <w:right w:val="single" w:color="000000" w:sz="4" w:space="0"/>
            </w:tcBorders>
          </w:tcPr>
          <w:p>
            <w:pPr>
              <w:autoSpaceDE w:val="0"/>
              <w:autoSpaceDN w:val="0"/>
              <w:ind w:firstLine="0" w:firstLineChars="0"/>
              <w:jc w:val="center"/>
              <w:rPr>
                <w:rFonts w:ascii="仿宋" w:hAnsi="仿宋" w:cs="Times New Roman"/>
                <w:kern w:val="0"/>
                <w:sz w:val="21"/>
                <w:szCs w:val="21"/>
              </w:rPr>
            </w:pPr>
          </w:p>
        </w:tc>
        <w:tc>
          <w:tcPr>
            <w:tcW w:w="1714" w:type="dxa"/>
            <w:vMerge w:val="continue"/>
            <w:tcBorders>
              <w:left w:val="single" w:color="000000" w:sz="4" w:space="0"/>
              <w:right w:val="single" w:color="000000" w:sz="4" w:space="0"/>
            </w:tcBorders>
          </w:tcPr>
          <w:p>
            <w:pPr>
              <w:autoSpaceDE w:val="0"/>
              <w:autoSpaceDN w:val="0"/>
              <w:ind w:firstLine="0" w:firstLineChars="0"/>
              <w:jc w:val="center"/>
              <w:rPr>
                <w:rFonts w:ascii="仿宋" w:hAnsi="仿宋" w:cs="Times New Roman"/>
                <w:kern w:val="0"/>
                <w:sz w:val="21"/>
                <w:szCs w:val="21"/>
              </w:rPr>
            </w:pPr>
          </w:p>
        </w:tc>
        <w:tc>
          <w:tcPr>
            <w:tcW w:w="1659" w:type="dxa"/>
            <w:vMerge w:val="continue"/>
            <w:tcBorders>
              <w:left w:val="single" w:color="000000" w:sz="4" w:space="0"/>
              <w:right w:val="single" w:color="000000" w:sz="4" w:space="0"/>
            </w:tcBorders>
            <w:vAlign w:val="center"/>
          </w:tcPr>
          <w:p>
            <w:pPr>
              <w:autoSpaceDE w:val="0"/>
              <w:autoSpaceDN w:val="0"/>
              <w:ind w:firstLine="0" w:firstLineChars="0"/>
              <w:jc w:val="center"/>
              <w:rPr>
                <w:rFonts w:ascii="仿宋" w:hAnsi="仿宋" w:cs="Times New Roman"/>
                <w:kern w:val="0"/>
                <w:sz w:val="21"/>
                <w:szCs w:val="21"/>
              </w:rPr>
            </w:pPr>
          </w:p>
        </w:tc>
        <w:tc>
          <w:tcPr>
            <w:tcW w:w="779" w:type="dxa"/>
            <w:tcBorders>
              <w:top w:val="single" w:color="000000" w:sz="4" w:space="0"/>
              <w:left w:val="single" w:color="000000" w:sz="4" w:space="0"/>
              <w:bottom w:val="single" w:color="000000" w:sz="4" w:space="0"/>
            </w:tcBorders>
            <w:vAlign w:val="center"/>
          </w:tcPr>
          <w:p>
            <w:pPr>
              <w:autoSpaceDE w:val="0"/>
              <w:autoSpaceDN w:val="0"/>
              <w:ind w:firstLine="0" w:firstLineChars="0"/>
              <w:jc w:val="center"/>
              <w:rPr>
                <w:rFonts w:ascii="仿宋" w:hAnsi="仿宋" w:cs="Times New Roman"/>
                <w:kern w:val="0"/>
                <w:sz w:val="21"/>
                <w:szCs w:val="21"/>
              </w:rPr>
            </w:pPr>
            <w:r>
              <w:rPr>
                <w:rFonts w:ascii="仿宋" w:hAnsi="仿宋" w:cs="Times New Roman"/>
                <w:kern w:val="0"/>
                <w:sz w:val="21"/>
                <w:szCs w:val="21"/>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0" w:hRule="atLeast"/>
          <w:jc w:val="center"/>
        </w:trPr>
        <w:tc>
          <w:tcPr>
            <w:tcW w:w="709" w:type="dxa"/>
            <w:tcBorders>
              <w:top w:val="single" w:color="000000" w:sz="4" w:space="0"/>
              <w:bottom w:val="single" w:color="auto" w:sz="4" w:space="0"/>
              <w:right w:val="single" w:color="000000" w:sz="4" w:space="0"/>
            </w:tcBorders>
            <w:vAlign w:val="center"/>
          </w:tcPr>
          <w:p>
            <w:pPr>
              <w:autoSpaceDE w:val="0"/>
              <w:autoSpaceDN w:val="0"/>
              <w:ind w:firstLine="0" w:firstLineChars="0"/>
              <w:jc w:val="center"/>
              <w:rPr>
                <w:rFonts w:ascii="仿宋" w:hAnsi="仿宋" w:cs="Times New Roman"/>
                <w:kern w:val="0"/>
                <w:sz w:val="21"/>
                <w:szCs w:val="21"/>
                <w:lang w:eastAsia="en-US"/>
              </w:rPr>
            </w:pPr>
            <w:r>
              <w:rPr>
                <w:rFonts w:ascii="仿宋" w:hAnsi="仿宋" w:cs="Times New Roman"/>
                <w:w w:val="82"/>
                <w:kern w:val="0"/>
                <w:sz w:val="21"/>
                <w:szCs w:val="21"/>
                <w:lang w:eastAsia="en-US"/>
              </w:rPr>
              <w:t>3</w:t>
            </w:r>
          </w:p>
        </w:tc>
        <w:tc>
          <w:tcPr>
            <w:tcW w:w="1134" w:type="dxa"/>
            <w:tcBorders>
              <w:top w:val="single" w:color="000000" w:sz="4" w:space="0"/>
              <w:left w:val="single" w:color="000000" w:sz="4" w:space="0"/>
              <w:bottom w:val="single" w:color="auto" w:sz="4" w:space="0"/>
              <w:right w:val="single" w:color="000000" w:sz="4" w:space="0"/>
            </w:tcBorders>
            <w:vAlign w:val="center"/>
          </w:tcPr>
          <w:p>
            <w:pPr>
              <w:autoSpaceDE w:val="0"/>
              <w:autoSpaceDN w:val="0"/>
              <w:ind w:firstLine="0" w:firstLineChars="0"/>
              <w:jc w:val="center"/>
              <w:rPr>
                <w:rFonts w:ascii="仿宋" w:hAnsi="仿宋" w:cs="Times New Roman"/>
                <w:kern w:val="0"/>
                <w:sz w:val="21"/>
                <w:szCs w:val="21"/>
              </w:rPr>
            </w:pPr>
            <w:r>
              <w:rPr>
                <w:rFonts w:hint="eastAsia" w:ascii="仿宋" w:hAnsi="仿宋" w:cs="Times New Roman"/>
                <w:kern w:val="0"/>
                <w:sz w:val="21"/>
                <w:szCs w:val="21"/>
              </w:rPr>
              <w:t>评分裁判</w:t>
            </w:r>
          </w:p>
        </w:tc>
        <w:tc>
          <w:tcPr>
            <w:tcW w:w="1843" w:type="dxa"/>
            <w:vMerge w:val="continue"/>
            <w:tcBorders>
              <w:left w:val="single" w:color="000000" w:sz="4" w:space="0"/>
              <w:right w:val="single" w:color="000000" w:sz="4" w:space="0"/>
            </w:tcBorders>
          </w:tcPr>
          <w:p>
            <w:pPr>
              <w:autoSpaceDE w:val="0"/>
              <w:autoSpaceDN w:val="0"/>
              <w:ind w:firstLine="0" w:firstLineChars="0"/>
              <w:jc w:val="center"/>
              <w:rPr>
                <w:rFonts w:ascii="仿宋" w:hAnsi="仿宋" w:cs="Times New Roman"/>
                <w:kern w:val="0"/>
                <w:sz w:val="21"/>
                <w:szCs w:val="21"/>
              </w:rPr>
            </w:pPr>
          </w:p>
        </w:tc>
        <w:tc>
          <w:tcPr>
            <w:tcW w:w="1714" w:type="dxa"/>
            <w:vMerge w:val="continue"/>
            <w:tcBorders>
              <w:left w:val="single" w:color="000000" w:sz="4" w:space="0"/>
              <w:right w:val="single" w:color="000000" w:sz="4" w:space="0"/>
            </w:tcBorders>
          </w:tcPr>
          <w:p>
            <w:pPr>
              <w:autoSpaceDE w:val="0"/>
              <w:autoSpaceDN w:val="0"/>
              <w:ind w:firstLine="0" w:firstLineChars="0"/>
              <w:jc w:val="center"/>
              <w:rPr>
                <w:rFonts w:ascii="仿宋" w:hAnsi="仿宋" w:cs="Times New Roman"/>
                <w:kern w:val="0"/>
                <w:sz w:val="21"/>
                <w:szCs w:val="21"/>
              </w:rPr>
            </w:pPr>
          </w:p>
        </w:tc>
        <w:tc>
          <w:tcPr>
            <w:tcW w:w="1659" w:type="dxa"/>
            <w:vMerge w:val="continue"/>
            <w:tcBorders>
              <w:left w:val="single" w:color="000000" w:sz="4" w:space="0"/>
              <w:right w:val="single" w:color="000000" w:sz="4" w:space="0"/>
            </w:tcBorders>
            <w:vAlign w:val="center"/>
          </w:tcPr>
          <w:p>
            <w:pPr>
              <w:autoSpaceDE w:val="0"/>
              <w:autoSpaceDN w:val="0"/>
              <w:ind w:firstLine="0" w:firstLineChars="0"/>
              <w:jc w:val="center"/>
              <w:rPr>
                <w:rFonts w:ascii="仿宋" w:hAnsi="仿宋" w:cs="Times New Roman"/>
                <w:kern w:val="0"/>
                <w:sz w:val="21"/>
                <w:szCs w:val="21"/>
              </w:rPr>
            </w:pPr>
          </w:p>
        </w:tc>
        <w:tc>
          <w:tcPr>
            <w:tcW w:w="779" w:type="dxa"/>
            <w:tcBorders>
              <w:top w:val="single" w:color="000000" w:sz="4" w:space="0"/>
              <w:left w:val="single" w:color="000000" w:sz="4" w:space="0"/>
              <w:bottom w:val="single" w:color="auto" w:sz="4" w:space="0"/>
            </w:tcBorders>
            <w:vAlign w:val="center"/>
          </w:tcPr>
          <w:p>
            <w:pPr>
              <w:autoSpaceDE w:val="0"/>
              <w:autoSpaceDN w:val="0"/>
              <w:ind w:firstLine="0" w:firstLineChars="0"/>
              <w:jc w:val="center"/>
              <w:rPr>
                <w:rFonts w:ascii="仿宋" w:hAnsi="仿宋" w:cs="Times New Roman"/>
                <w:kern w:val="0"/>
                <w:sz w:val="21"/>
                <w:szCs w:val="21"/>
              </w:rPr>
            </w:pPr>
            <w:r>
              <w:rPr>
                <w:rFonts w:ascii="仿宋" w:hAnsi="仿宋" w:cs="Times New Roman"/>
                <w:kern w:val="0"/>
                <w:sz w:val="21"/>
                <w:szCs w:val="21"/>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0" w:hRule="atLeast"/>
          <w:jc w:val="center"/>
        </w:trPr>
        <w:tc>
          <w:tcPr>
            <w:tcW w:w="709" w:type="dxa"/>
            <w:tcBorders>
              <w:top w:val="single" w:color="auto" w:sz="4" w:space="0"/>
              <w:bottom w:val="single" w:color="auto" w:sz="4" w:space="0"/>
              <w:right w:val="single" w:color="000000" w:sz="4" w:space="0"/>
            </w:tcBorders>
            <w:vAlign w:val="center"/>
          </w:tcPr>
          <w:p>
            <w:pPr>
              <w:autoSpaceDE w:val="0"/>
              <w:autoSpaceDN w:val="0"/>
              <w:ind w:firstLine="0" w:firstLineChars="0"/>
              <w:jc w:val="center"/>
              <w:rPr>
                <w:rFonts w:ascii="仿宋" w:hAnsi="仿宋" w:cs="Times New Roman"/>
                <w:w w:val="82"/>
                <w:kern w:val="0"/>
                <w:sz w:val="21"/>
                <w:szCs w:val="21"/>
              </w:rPr>
            </w:pPr>
            <w:r>
              <w:rPr>
                <w:rFonts w:hint="eastAsia" w:ascii="仿宋" w:hAnsi="仿宋" w:cs="Times New Roman"/>
                <w:w w:val="82"/>
                <w:kern w:val="0"/>
                <w:sz w:val="21"/>
                <w:szCs w:val="21"/>
              </w:rPr>
              <w:t>4</w:t>
            </w:r>
          </w:p>
        </w:tc>
        <w:tc>
          <w:tcPr>
            <w:tcW w:w="1134" w:type="dxa"/>
            <w:tcBorders>
              <w:top w:val="single" w:color="auto" w:sz="4" w:space="0"/>
              <w:left w:val="single" w:color="000000" w:sz="4" w:space="0"/>
              <w:bottom w:val="single" w:color="auto" w:sz="4" w:space="0"/>
              <w:right w:val="single" w:color="000000" w:sz="4" w:space="0"/>
            </w:tcBorders>
            <w:vAlign w:val="center"/>
          </w:tcPr>
          <w:p>
            <w:pPr>
              <w:autoSpaceDE w:val="0"/>
              <w:autoSpaceDN w:val="0"/>
              <w:ind w:firstLine="0" w:firstLineChars="0"/>
              <w:jc w:val="center"/>
              <w:rPr>
                <w:rFonts w:ascii="仿宋" w:hAnsi="仿宋" w:cs="Times New Roman"/>
                <w:kern w:val="0"/>
                <w:sz w:val="21"/>
                <w:szCs w:val="21"/>
              </w:rPr>
            </w:pPr>
            <w:r>
              <w:rPr>
                <w:rFonts w:hint="eastAsia" w:ascii="仿宋" w:hAnsi="仿宋" w:cs="Times New Roman"/>
                <w:kern w:val="0"/>
                <w:sz w:val="21"/>
                <w:szCs w:val="21"/>
              </w:rPr>
              <w:t>统分裁判</w:t>
            </w:r>
          </w:p>
        </w:tc>
        <w:tc>
          <w:tcPr>
            <w:tcW w:w="1843" w:type="dxa"/>
            <w:vMerge w:val="continue"/>
            <w:tcBorders>
              <w:left w:val="single" w:color="000000" w:sz="4" w:space="0"/>
              <w:bottom w:val="single" w:color="auto" w:sz="4" w:space="0"/>
              <w:right w:val="single" w:color="000000" w:sz="4" w:space="0"/>
            </w:tcBorders>
          </w:tcPr>
          <w:p>
            <w:pPr>
              <w:autoSpaceDE w:val="0"/>
              <w:autoSpaceDN w:val="0"/>
              <w:ind w:firstLine="0" w:firstLineChars="0"/>
              <w:jc w:val="center"/>
              <w:rPr>
                <w:rFonts w:ascii="仿宋" w:hAnsi="仿宋" w:cs="Times New Roman"/>
                <w:kern w:val="0"/>
                <w:sz w:val="21"/>
                <w:szCs w:val="21"/>
              </w:rPr>
            </w:pPr>
          </w:p>
        </w:tc>
        <w:tc>
          <w:tcPr>
            <w:tcW w:w="1714" w:type="dxa"/>
            <w:vMerge w:val="continue"/>
            <w:tcBorders>
              <w:left w:val="single" w:color="000000" w:sz="4" w:space="0"/>
              <w:bottom w:val="single" w:color="auto" w:sz="4" w:space="0"/>
              <w:right w:val="single" w:color="000000" w:sz="4" w:space="0"/>
            </w:tcBorders>
          </w:tcPr>
          <w:p>
            <w:pPr>
              <w:autoSpaceDE w:val="0"/>
              <w:autoSpaceDN w:val="0"/>
              <w:ind w:firstLine="0" w:firstLineChars="0"/>
              <w:jc w:val="center"/>
              <w:rPr>
                <w:rFonts w:ascii="仿宋" w:hAnsi="仿宋" w:cs="Times New Roman"/>
                <w:kern w:val="0"/>
                <w:sz w:val="21"/>
                <w:szCs w:val="21"/>
              </w:rPr>
            </w:pPr>
          </w:p>
        </w:tc>
        <w:tc>
          <w:tcPr>
            <w:tcW w:w="1659" w:type="dxa"/>
            <w:vMerge w:val="continue"/>
            <w:tcBorders>
              <w:left w:val="single" w:color="000000" w:sz="4" w:space="0"/>
              <w:bottom w:val="single" w:color="auto" w:sz="4" w:space="0"/>
              <w:right w:val="single" w:color="000000" w:sz="4" w:space="0"/>
            </w:tcBorders>
            <w:vAlign w:val="center"/>
          </w:tcPr>
          <w:p>
            <w:pPr>
              <w:autoSpaceDE w:val="0"/>
              <w:autoSpaceDN w:val="0"/>
              <w:ind w:firstLine="0" w:firstLineChars="0"/>
              <w:jc w:val="center"/>
              <w:rPr>
                <w:rFonts w:ascii="仿宋" w:hAnsi="仿宋" w:cs="Times New Roman"/>
                <w:kern w:val="0"/>
                <w:sz w:val="21"/>
                <w:szCs w:val="21"/>
              </w:rPr>
            </w:pPr>
          </w:p>
        </w:tc>
        <w:tc>
          <w:tcPr>
            <w:tcW w:w="779" w:type="dxa"/>
            <w:tcBorders>
              <w:top w:val="single" w:color="auto" w:sz="4" w:space="0"/>
              <w:left w:val="single" w:color="000000" w:sz="4" w:space="0"/>
              <w:bottom w:val="single" w:color="auto" w:sz="4" w:space="0"/>
            </w:tcBorders>
            <w:vAlign w:val="center"/>
          </w:tcPr>
          <w:p>
            <w:pPr>
              <w:autoSpaceDE w:val="0"/>
              <w:autoSpaceDN w:val="0"/>
              <w:ind w:firstLine="0" w:firstLineChars="0"/>
              <w:jc w:val="center"/>
              <w:rPr>
                <w:rFonts w:ascii="仿宋" w:hAnsi="仿宋" w:cs="Times New Roman"/>
                <w:kern w:val="0"/>
                <w:sz w:val="21"/>
                <w:szCs w:val="21"/>
              </w:rPr>
            </w:pPr>
            <w:r>
              <w:rPr>
                <w:rFonts w:hint="eastAsia" w:ascii="仿宋" w:hAnsi="仿宋" w:cs="Times New Roman"/>
                <w:kern w:val="0"/>
                <w:sz w:val="21"/>
                <w:szCs w:val="21"/>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88" w:hRule="atLeast"/>
          <w:jc w:val="center"/>
        </w:trPr>
        <w:tc>
          <w:tcPr>
            <w:tcW w:w="7838" w:type="dxa"/>
            <w:gridSpan w:val="6"/>
            <w:tcBorders>
              <w:top w:val="single" w:color="000000" w:sz="4" w:space="0"/>
            </w:tcBorders>
            <w:vAlign w:val="center"/>
          </w:tcPr>
          <w:p>
            <w:pPr>
              <w:autoSpaceDE w:val="0"/>
              <w:autoSpaceDN w:val="0"/>
              <w:ind w:firstLine="422"/>
              <w:jc w:val="center"/>
              <w:rPr>
                <w:rFonts w:ascii="仿宋" w:hAnsi="仿宋" w:cs="Times New Roman"/>
                <w:b/>
                <w:kern w:val="0"/>
                <w:sz w:val="21"/>
                <w:szCs w:val="21"/>
              </w:rPr>
            </w:pPr>
            <w:r>
              <w:rPr>
                <w:rFonts w:hint="eastAsia" w:ascii="仿宋" w:hAnsi="仿宋" w:cs="Times New Roman"/>
                <w:b/>
                <w:kern w:val="0"/>
                <w:sz w:val="21"/>
                <w:szCs w:val="21"/>
                <w:lang w:eastAsia="en-US"/>
              </w:rPr>
              <w:t>裁判员总数</w:t>
            </w:r>
            <w:r>
              <w:rPr>
                <w:rFonts w:hint="eastAsia" w:ascii="仿宋" w:hAnsi="仿宋" w:cs="Times New Roman"/>
                <w:b/>
                <w:kern w:val="0"/>
                <w:sz w:val="21"/>
                <w:szCs w:val="21"/>
              </w:rPr>
              <w:t>：1</w:t>
            </w:r>
            <w:r>
              <w:rPr>
                <w:rFonts w:ascii="仿宋" w:hAnsi="仿宋" w:cs="Times New Roman"/>
                <w:b/>
                <w:kern w:val="0"/>
                <w:sz w:val="21"/>
                <w:szCs w:val="21"/>
              </w:rPr>
              <w:t>7</w:t>
            </w:r>
          </w:p>
        </w:tc>
      </w:tr>
    </w:tbl>
    <w:p>
      <w:pPr>
        <w:autoSpaceDE w:val="0"/>
        <w:autoSpaceDN w:val="0"/>
        <w:spacing w:line="560" w:lineRule="exact"/>
        <w:ind w:firstLine="480"/>
        <w:rPr>
          <w:rFonts w:ascii="仿宋" w:hAnsi="仿宋" w:cs="Times New Roman"/>
          <w:kern w:val="0"/>
          <w:szCs w:val="24"/>
        </w:rPr>
      </w:pPr>
      <w:r>
        <w:rPr>
          <w:rFonts w:ascii="仿宋" w:hAnsi="仿宋" w:cs="Times New Roman"/>
          <w:kern w:val="0"/>
          <w:szCs w:val="24"/>
          <w:lang w:eastAsia="en-US"/>
        </w:rPr>
        <w:t>2.裁判评分方法</w:t>
      </w:r>
    </w:p>
    <w:p>
      <w:pPr>
        <w:autoSpaceDE w:val="0"/>
        <w:autoSpaceDN w:val="0"/>
        <w:spacing w:line="560" w:lineRule="exact"/>
        <w:ind w:firstLine="436"/>
        <w:rPr>
          <w:rFonts w:ascii="仿宋" w:hAnsi="仿宋" w:cs="Times New Roman"/>
          <w:spacing w:val="-11"/>
          <w:kern w:val="0"/>
          <w:szCs w:val="24"/>
        </w:rPr>
      </w:pPr>
      <w:r>
        <w:rPr>
          <w:rFonts w:hint="eastAsia" w:ascii="仿宋" w:hAnsi="仿宋" w:cs="Times New Roman"/>
          <w:spacing w:val="-11"/>
          <w:kern w:val="0"/>
          <w:szCs w:val="24"/>
        </w:rPr>
        <w:t>本赛项理论考核为考试系统自动评分；技能考核的评分方法为结果评分，该评分方法是评分裁判对参赛队伍提交到计算机指定位置的竞赛结果（文档、截图等）、设计开发完成并部署到设备的软件系统等，依据赛项评分标准判分的评分方法。</w:t>
      </w:r>
    </w:p>
    <w:p>
      <w:pPr>
        <w:autoSpaceDE w:val="0"/>
        <w:autoSpaceDN w:val="0"/>
        <w:spacing w:line="560" w:lineRule="exact"/>
        <w:ind w:firstLine="480"/>
        <w:rPr>
          <w:rFonts w:ascii="仿宋" w:hAnsi="仿宋" w:cs="Times New Roman"/>
          <w:kern w:val="0"/>
          <w:szCs w:val="24"/>
        </w:rPr>
      </w:pPr>
      <w:r>
        <w:rPr>
          <w:rFonts w:ascii="仿宋" w:hAnsi="仿宋" w:cs="Times New Roman"/>
          <w:kern w:val="0"/>
          <w:szCs w:val="24"/>
        </w:rPr>
        <w:t>3.成绩产生方法</w:t>
      </w:r>
    </w:p>
    <w:p>
      <w:pPr>
        <w:autoSpaceDE w:val="0"/>
        <w:autoSpaceDN w:val="0"/>
        <w:spacing w:line="560" w:lineRule="exact"/>
        <w:ind w:firstLine="436"/>
        <w:rPr>
          <w:rFonts w:ascii="仿宋" w:hAnsi="仿宋" w:cs="Times New Roman"/>
          <w:spacing w:val="-11"/>
          <w:kern w:val="0"/>
          <w:szCs w:val="24"/>
        </w:rPr>
      </w:pPr>
      <w:r>
        <w:rPr>
          <w:rFonts w:hint="eastAsia" w:ascii="仿宋" w:hAnsi="仿宋" w:cs="Times New Roman"/>
          <w:spacing w:val="-11"/>
          <w:kern w:val="0"/>
          <w:szCs w:val="24"/>
        </w:rPr>
        <w:t>按竞赛作品类型分为客观评分和主观评分。具体如下：</w:t>
      </w:r>
    </w:p>
    <w:p>
      <w:pPr>
        <w:autoSpaceDE w:val="0"/>
        <w:autoSpaceDN w:val="0"/>
        <w:spacing w:line="560" w:lineRule="exact"/>
        <w:ind w:firstLineChars="0"/>
        <w:rPr>
          <w:rFonts w:ascii="仿宋" w:hAnsi="仿宋" w:cs="Times New Roman"/>
          <w:spacing w:val="-11"/>
          <w:kern w:val="0"/>
          <w:szCs w:val="24"/>
        </w:rPr>
      </w:pPr>
      <w:r>
        <w:rPr>
          <w:rFonts w:hint="eastAsia" w:ascii="仿宋" w:hAnsi="仿宋" w:cs="Times New Roman"/>
          <w:spacing w:val="-11"/>
          <w:kern w:val="0"/>
          <w:szCs w:val="24"/>
        </w:rPr>
        <w:t>（1）客观评分应由两名及以上评分裁判独立评分，客观评分不一致的须在计分前及时更正。</w:t>
      </w:r>
    </w:p>
    <w:p>
      <w:pPr>
        <w:autoSpaceDE w:val="0"/>
        <w:autoSpaceDN w:val="0"/>
        <w:spacing w:line="560" w:lineRule="exact"/>
        <w:ind w:firstLineChars="0"/>
        <w:rPr>
          <w:rFonts w:ascii="仿宋" w:hAnsi="仿宋" w:cs="Times New Roman"/>
          <w:spacing w:val="-11"/>
          <w:kern w:val="0"/>
          <w:szCs w:val="24"/>
        </w:rPr>
      </w:pPr>
      <w:r>
        <w:rPr>
          <w:rFonts w:hint="eastAsia" w:ascii="仿宋" w:hAnsi="仿宋" w:cs="Times New Roman"/>
          <w:spacing w:val="-11"/>
          <w:kern w:val="0"/>
          <w:szCs w:val="24"/>
        </w:rPr>
        <w:t>（2）主观评分，如竞赛指导方案设计、职业素养等，应至少由</w:t>
      </w:r>
      <w:r>
        <w:rPr>
          <w:rFonts w:ascii="仿宋" w:hAnsi="仿宋" w:cs="Times New Roman"/>
          <w:spacing w:val="-11"/>
          <w:kern w:val="0"/>
          <w:szCs w:val="24"/>
        </w:rPr>
        <w:t>5</w:t>
      </w:r>
      <w:r>
        <w:rPr>
          <w:rFonts w:hint="eastAsia" w:ascii="仿宋" w:hAnsi="仿宋" w:cs="Times New Roman"/>
          <w:spacing w:val="-11"/>
          <w:kern w:val="0"/>
          <w:szCs w:val="24"/>
        </w:rPr>
        <w:t>名评分裁判独立评分，主观评分以去掉一个最高分和一个最低分后，其余得分的算术平均值作为参赛队伍的最后得分。</w:t>
      </w:r>
    </w:p>
    <w:p>
      <w:pPr>
        <w:autoSpaceDE w:val="0"/>
        <w:autoSpaceDN w:val="0"/>
        <w:spacing w:line="560" w:lineRule="exact"/>
        <w:ind w:firstLine="480"/>
        <w:rPr>
          <w:rFonts w:ascii="仿宋" w:hAnsi="仿宋" w:cs="Times New Roman"/>
          <w:kern w:val="0"/>
          <w:szCs w:val="24"/>
        </w:rPr>
      </w:pPr>
      <w:r>
        <w:rPr>
          <w:rFonts w:ascii="仿宋" w:hAnsi="仿宋" w:cs="Times New Roman"/>
          <w:kern w:val="0"/>
          <w:szCs w:val="24"/>
        </w:rPr>
        <w:t>4.成绩审核</w:t>
      </w:r>
      <w:r>
        <w:rPr>
          <w:rFonts w:hint="eastAsia" w:ascii="仿宋" w:hAnsi="仿宋" w:cs="Times New Roman"/>
          <w:kern w:val="0"/>
          <w:szCs w:val="24"/>
        </w:rPr>
        <w:t>方法</w:t>
      </w:r>
    </w:p>
    <w:p>
      <w:pPr>
        <w:autoSpaceDE w:val="0"/>
        <w:autoSpaceDN w:val="0"/>
        <w:spacing w:line="560" w:lineRule="exact"/>
        <w:ind w:firstLine="448"/>
        <w:rPr>
          <w:rFonts w:ascii="仿宋" w:hAnsi="仿宋" w:cs="Times New Roman"/>
          <w:kern w:val="0"/>
          <w:szCs w:val="24"/>
        </w:rPr>
      </w:pPr>
      <w:r>
        <w:rPr>
          <w:rFonts w:ascii="仿宋" w:hAnsi="仿宋" w:cs="Times New Roman"/>
          <w:spacing w:val="-8"/>
          <w:kern w:val="0"/>
          <w:szCs w:val="24"/>
        </w:rPr>
        <w:t>各裁判员首先审核自身对选手的原始打分成绩，并签名</w:t>
      </w:r>
      <w:r>
        <w:rPr>
          <w:rFonts w:hint="eastAsia" w:ascii="仿宋" w:hAnsi="仿宋" w:cs="Times New Roman"/>
          <w:spacing w:val="-8"/>
          <w:kern w:val="0"/>
          <w:szCs w:val="24"/>
        </w:rPr>
        <w:t>。</w:t>
      </w:r>
      <w:r>
        <w:rPr>
          <w:rFonts w:ascii="仿宋" w:hAnsi="仿宋" w:cs="Times New Roman"/>
          <w:spacing w:val="-8"/>
          <w:kern w:val="0"/>
          <w:szCs w:val="24"/>
        </w:rPr>
        <w:t>裁判长</w:t>
      </w:r>
      <w:r>
        <w:rPr>
          <w:rFonts w:ascii="仿宋" w:hAnsi="仿宋" w:cs="Times New Roman"/>
          <w:spacing w:val="-3"/>
          <w:kern w:val="0"/>
          <w:szCs w:val="24"/>
        </w:rPr>
        <w:t>对所有裁判员的打分成绩进行审核，并签名。</w:t>
      </w:r>
    </w:p>
    <w:p>
      <w:pPr>
        <w:autoSpaceDE w:val="0"/>
        <w:autoSpaceDN w:val="0"/>
        <w:spacing w:line="560" w:lineRule="exact"/>
        <w:ind w:firstLine="480"/>
        <w:rPr>
          <w:rFonts w:ascii="仿宋" w:hAnsi="仿宋" w:cs="Times New Roman"/>
          <w:kern w:val="0"/>
          <w:szCs w:val="24"/>
        </w:rPr>
      </w:pPr>
      <w:r>
        <w:rPr>
          <w:rFonts w:ascii="仿宋" w:hAnsi="仿宋" w:cs="Times New Roman"/>
          <w:kern w:val="0"/>
          <w:szCs w:val="24"/>
        </w:rPr>
        <w:t>（二）成绩复核与解密</w:t>
      </w:r>
    </w:p>
    <w:p>
      <w:pPr>
        <w:autoSpaceDE w:val="0"/>
        <w:autoSpaceDN w:val="0"/>
        <w:spacing w:line="560" w:lineRule="exact"/>
        <w:ind w:firstLine="480"/>
        <w:rPr>
          <w:rFonts w:ascii="仿宋" w:hAnsi="仿宋" w:cs="Times New Roman"/>
          <w:kern w:val="0"/>
          <w:szCs w:val="24"/>
        </w:rPr>
      </w:pPr>
      <w:r>
        <w:rPr>
          <w:rFonts w:ascii="仿宋" w:hAnsi="仿宋" w:cs="Times New Roman"/>
          <w:kern w:val="0"/>
          <w:szCs w:val="24"/>
        </w:rPr>
        <w:t>监督、仲裁组将对赛项总成绩排名前30%的所有参赛队伍（选手）的成绩进行复核；对其余成绩进行抽检</w:t>
      </w:r>
      <w:r>
        <w:rPr>
          <w:rFonts w:ascii="仿宋" w:hAnsi="仿宋" w:cs="Times New Roman"/>
          <w:spacing w:val="-10"/>
          <w:kern w:val="0"/>
          <w:szCs w:val="24"/>
        </w:rPr>
        <w:t>复核，抽检覆盖率不得低于</w:t>
      </w:r>
      <w:r>
        <w:rPr>
          <w:rFonts w:ascii="仿宋" w:hAnsi="仿宋" w:cs="Times New Roman"/>
          <w:kern w:val="0"/>
          <w:szCs w:val="24"/>
        </w:rPr>
        <w:t>15%</w:t>
      </w:r>
      <w:r>
        <w:rPr>
          <w:rFonts w:ascii="仿宋" w:hAnsi="仿宋" w:cs="Times New Roman"/>
          <w:spacing w:val="-4"/>
          <w:kern w:val="0"/>
          <w:szCs w:val="24"/>
        </w:rPr>
        <w:t>。如发现成绩错误以书面方式及时告</w:t>
      </w:r>
      <w:r>
        <w:rPr>
          <w:rFonts w:ascii="仿宋" w:hAnsi="仿宋" w:cs="Times New Roman"/>
          <w:spacing w:val="1"/>
          <w:kern w:val="0"/>
          <w:szCs w:val="24"/>
        </w:rPr>
        <w:t>知裁判长，由裁判长更正成绩并签字确认。复核、抽检错误率超过</w:t>
      </w:r>
      <w:r>
        <w:rPr>
          <w:rFonts w:ascii="仿宋" w:hAnsi="仿宋" w:cs="Times New Roman"/>
          <w:kern w:val="0"/>
          <w:szCs w:val="24"/>
        </w:rPr>
        <w:t>5%的，裁判组将对所有成绩进行复核。</w:t>
      </w:r>
    </w:p>
    <w:p>
      <w:pPr>
        <w:autoSpaceDE w:val="0"/>
        <w:autoSpaceDN w:val="0"/>
        <w:ind w:firstLine="480"/>
        <w:rPr>
          <w:rFonts w:ascii="仿宋" w:hAnsi="仿宋" w:cs="Times New Roman"/>
          <w:color w:val="000000" w:themeColor="text1"/>
          <w:kern w:val="0"/>
          <w:szCs w:val="24"/>
          <w14:textFill>
            <w14:solidFill>
              <w14:schemeClr w14:val="tx1"/>
            </w14:solidFill>
          </w14:textFill>
        </w:rPr>
      </w:pPr>
      <w:r>
        <w:rPr>
          <w:rFonts w:hint="eastAsia" w:ascii="仿宋" w:hAnsi="仿宋" w:cs="Times New Roman"/>
          <w:color w:val="000000" w:themeColor="text1"/>
          <w:kern w:val="0"/>
          <w:szCs w:val="24"/>
          <w14:textFill>
            <w14:solidFill>
              <w14:schemeClr w14:val="tx1"/>
            </w14:solidFill>
          </w14:textFill>
        </w:rPr>
        <w:t>成绩复核、确认无误后进行成绩排名，得出排名结果后进行解密，不允许先解密后排序。</w:t>
      </w:r>
    </w:p>
    <w:p>
      <w:pPr>
        <w:autoSpaceDE w:val="0"/>
        <w:autoSpaceDN w:val="0"/>
        <w:spacing w:line="560" w:lineRule="exact"/>
        <w:ind w:firstLine="480"/>
        <w:rPr>
          <w:rFonts w:ascii="仿宋" w:hAnsi="仿宋" w:cs="Times New Roman"/>
          <w:kern w:val="0"/>
          <w:szCs w:val="24"/>
        </w:rPr>
      </w:pPr>
      <w:r>
        <w:rPr>
          <w:rFonts w:ascii="仿宋" w:hAnsi="仿宋" w:cs="Times New Roman"/>
          <w:kern w:val="0"/>
          <w:szCs w:val="24"/>
        </w:rPr>
        <w:t>（三）成绩公布</w:t>
      </w:r>
    </w:p>
    <w:p>
      <w:pPr>
        <w:autoSpaceDE w:val="0"/>
        <w:autoSpaceDN w:val="0"/>
        <w:spacing w:line="560" w:lineRule="exact"/>
        <w:ind w:firstLine="458" w:firstLineChars="196"/>
        <w:rPr>
          <w:rFonts w:ascii="仿宋" w:hAnsi="仿宋" w:cs="Times New Roman"/>
          <w:spacing w:val="-10"/>
          <w:kern w:val="0"/>
          <w:szCs w:val="24"/>
        </w:rPr>
      </w:pPr>
      <w:r>
        <w:rPr>
          <w:rFonts w:ascii="仿宋" w:hAnsi="仿宋" w:cs="Times New Roman"/>
          <w:spacing w:val="-3"/>
          <w:kern w:val="0"/>
          <w:szCs w:val="24"/>
        </w:rPr>
        <w:t>记分员将解密后的各参赛队竞赛成绩进行汇总制表，经裁判长、监督仲裁组签字后在指定地点，以纸质形式向全体参赛队进行公布。</w:t>
      </w:r>
      <w:r>
        <w:rPr>
          <w:rFonts w:ascii="仿宋" w:hAnsi="仿宋" w:cs="Times New Roman"/>
          <w:spacing w:val="-25"/>
          <w:kern w:val="0"/>
          <w:szCs w:val="24"/>
        </w:rPr>
        <w:t>公布</w:t>
      </w:r>
      <w:r>
        <w:rPr>
          <w:rFonts w:hint="eastAsia" w:ascii="仿宋" w:hAnsi="仿宋" w:cs="Times New Roman"/>
          <w:spacing w:val="-25"/>
          <w:kern w:val="0"/>
          <w:szCs w:val="24"/>
        </w:rPr>
        <w:t>2</w:t>
      </w:r>
      <w:r>
        <w:rPr>
          <w:rFonts w:ascii="仿宋" w:hAnsi="仿宋" w:cs="Times New Roman"/>
          <w:spacing w:val="-10"/>
          <w:kern w:val="0"/>
          <w:szCs w:val="24"/>
        </w:rPr>
        <w:t>小时无异议后，将赛项总成绩的最终结果录入赛务管理系统，经裁判长、监督仲裁组长在导出成绩单上审核签字后，在闭赛式上宣布。</w:t>
      </w:r>
      <w:bookmarkStart w:id="3" w:name="（四）评分标准"/>
      <w:bookmarkEnd w:id="3"/>
    </w:p>
    <w:p>
      <w:pPr>
        <w:autoSpaceDE w:val="0"/>
        <w:autoSpaceDN w:val="0"/>
        <w:spacing w:line="560" w:lineRule="exact"/>
        <w:ind w:firstLine="480"/>
        <w:rPr>
          <w:rFonts w:ascii="仿宋" w:hAnsi="仿宋" w:cs="Times New Roman"/>
          <w:color w:val="FF0000"/>
          <w:kern w:val="0"/>
          <w:szCs w:val="24"/>
        </w:rPr>
      </w:pPr>
      <w:r>
        <w:rPr>
          <w:rFonts w:ascii="仿宋" w:hAnsi="仿宋" w:cs="Times New Roman"/>
          <w:kern w:val="0"/>
          <w:szCs w:val="24"/>
        </w:rPr>
        <w:t>（四）评分标准</w:t>
      </w:r>
    </w:p>
    <w:p>
      <w:pPr>
        <w:autoSpaceDE w:val="0"/>
        <w:autoSpaceDN w:val="0"/>
        <w:spacing w:line="560" w:lineRule="exact"/>
        <w:ind w:firstLine="482"/>
        <w:rPr>
          <w:rFonts w:ascii="仿宋" w:hAnsi="仿宋" w:cs="仿宋"/>
          <w:b/>
          <w:color w:val="000000" w:themeColor="text1"/>
          <w:kern w:val="0"/>
          <w:szCs w:val="24"/>
          <w14:textFill>
            <w14:solidFill>
              <w14:schemeClr w14:val="tx1"/>
            </w14:solidFill>
          </w14:textFill>
        </w:rPr>
      </w:pPr>
      <w:r>
        <w:rPr>
          <w:rFonts w:hint="eastAsia" w:ascii="仿宋" w:hAnsi="仿宋" w:cs="仿宋"/>
          <w:b/>
          <w:color w:val="000000" w:themeColor="text1"/>
          <w:kern w:val="0"/>
          <w:szCs w:val="24"/>
          <w14:textFill>
            <w14:solidFill>
              <w14:schemeClr w14:val="tx1"/>
            </w14:solidFill>
          </w14:textFill>
        </w:rPr>
        <w:t>1、学生组：</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 w:type="dxa"/>
          <w:bottom w:w="0" w:type="dxa"/>
          <w:right w:w="10" w:type="dxa"/>
        </w:tblCellMar>
      </w:tblPr>
      <w:tblGrid>
        <w:gridCol w:w="1256"/>
        <w:gridCol w:w="1985"/>
        <w:gridCol w:w="4110"/>
        <w:gridCol w:w="91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488" w:hRule="exact"/>
          <w:jc w:val="center"/>
        </w:trPr>
        <w:tc>
          <w:tcPr>
            <w:tcW w:w="1256" w:type="dxa"/>
            <w:tcBorders>
              <w:top w:val="single" w:color="auto" w:sz="8" w:space="0"/>
              <w:bottom w:val="single" w:color="auto" w:sz="8" w:space="0"/>
            </w:tcBorders>
            <w:vAlign w:val="center"/>
          </w:tcPr>
          <w:p>
            <w:pPr>
              <w:autoSpaceDE w:val="0"/>
              <w:autoSpaceDN w:val="0"/>
              <w:ind w:firstLine="0" w:firstLineChars="0"/>
              <w:jc w:val="center"/>
              <w:rPr>
                <w:rFonts w:ascii="仿宋" w:hAnsi="仿宋" w:cs="仿宋"/>
                <w:b/>
                <w:bCs/>
                <w:color w:val="000000" w:themeColor="text1"/>
                <w:kern w:val="0"/>
                <w:sz w:val="21"/>
                <w:szCs w:val="21"/>
                <w14:textFill>
                  <w14:solidFill>
                    <w14:schemeClr w14:val="tx1"/>
                  </w14:solidFill>
                </w14:textFill>
              </w:rPr>
            </w:pPr>
            <w:r>
              <w:rPr>
                <w:rFonts w:hint="eastAsia" w:ascii="仿宋" w:hAnsi="仿宋" w:cs="仿宋"/>
                <w:b/>
                <w:bCs/>
                <w:color w:val="000000" w:themeColor="text1"/>
                <w:kern w:val="0"/>
                <w:sz w:val="21"/>
                <w:szCs w:val="21"/>
                <w14:textFill>
                  <w14:solidFill>
                    <w14:schemeClr w14:val="tx1"/>
                  </w14:solidFill>
                </w14:textFill>
              </w:rPr>
              <w:t>任务</w:t>
            </w:r>
          </w:p>
        </w:tc>
        <w:tc>
          <w:tcPr>
            <w:tcW w:w="1985" w:type="dxa"/>
            <w:tcBorders>
              <w:top w:val="single" w:color="auto" w:sz="8" w:space="0"/>
              <w:bottom w:val="single" w:color="auto" w:sz="8" w:space="0"/>
            </w:tcBorders>
            <w:vAlign w:val="center"/>
          </w:tcPr>
          <w:p>
            <w:pPr>
              <w:autoSpaceDE w:val="0"/>
              <w:autoSpaceDN w:val="0"/>
              <w:ind w:firstLine="0" w:firstLineChars="0"/>
              <w:jc w:val="center"/>
              <w:rPr>
                <w:rFonts w:ascii="仿宋" w:hAnsi="仿宋" w:cs="仿宋"/>
                <w:b/>
                <w:bCs/>
                <w:color w:val="000000" w:themeColor="text1"/>
                <w:kern w:val="0"/>
                <w:sz w:val="21"/>
                <w:szCs w:val="21"/>
                <w14:textFill>
                  <w14:solidFill>
                    <w14:schemeClr w14:val="tx1"/>
                  </w14:solidFill>
                </w14:textFill>
              </w:rPr>
            </w:pPr>
            <w:r>
              <w:rPr>
                <w:rFonts w:hint="eastAsia" w:ascii="仿宋" w:hAnsi="仿宋" w:cs="仿宋"/>
                <w:b/>
                <w:bCs/>
                <w:color w:val="000000" w:themeColor="text1"/>
                <w:kern w:val="0"/>
                <w:sz w:val="21"/>
                <w:szCs w:val="21"/>
                <w14:textFill>
                  <w14:solidFill>
                    <w14:schemeClr w14:val="tx1"/>
                  </w14:solidFill>
                </w14:textFill>
              </w:rPr>
              <w:t>任务组成</w:t>
            </w:r>
          </w:p>
        </w:tc>
        <w:tc>
          <w:tcPr>
            <w:tcW w:w="4110" w:type="dxa"/>
            <w:tcBorders>
              <w:top w:val="single" w:color="auto" w:sz="8" w:space="0"/>
              <w:bottom w:val="single" w:color="auto" w:sz="8" w:space="0"/>
            </w:tcBorders>
            <w:vAlign w:val="center"/>
          </w:tcPr>
          <w:p>
            <w:pPr>
              <w:autoSpaceDE w:val="0"/>
              <w:autoSpaceDN w:val="0"/>
              <w:ind w:firstLine="422"/>
              <w:rPr>
                <w:rFonts w:ascii="仿宋" w:hAnsi="仿宋" w:cs="仿宋"/>
                <w:b/>
                <w:bCs/>
                <w:color w:val="000000" w:themeColor="text1"/>
                <w:kern w:val="0"/>
                <w:sz w:val="21"/>
                <w:szCs w:val="21"/>
                <w14:textFill>
                  <w14:solidFill>
                    <w14:schemeClr w14:val="tx1"/>
                  </w14:solidFill>
                </w14:textFill>
              </w:rPr>
            </w:pPr>
            <w:r>
              <w:rPr>
                <w:rFonts w:hint="eastAsia" w:ascii="仿宋" w:hAnsi="仿宋" w:cs="仿宋"/>
                <w:b/>
                <w:bCs/>
                <w:color w:val="000000" w:themeColor="text1"/>
                <w:kern w:val="0"/>
                <w:sz w:val="21"/>
                <w:szCs w:val="21"/>
                <w14:textFill>
                  <w14:solidFill>
                    <w14:schemeClr w14:val="tx1"/>
                  </w14:solidFill>
                </w14:textFill>
              </w:rPr>
              <w:t>技能点、知识点或难易度</w:t>
            </w:r>
          </w:p>
        </w:tc>
        <w:tc>
          <w:tcPr>
            <w:tcW w:w="914" w:type="dxa"/>
            <w:tcBorders>
              <w:top w:val="single" w:color="auto" w:sz="8" w:space="0"/>
              <w:bottom w:val="single" w:color="auto" w:sz="8" w:space="0"/>
            </w:tcBorders>
            <w:vAlign w:val="center"/>
          </w:tcPr>
          <w:p>
            <w:pPr>
              <w:autoSpaceDE w:val="0"/>
              <w:autoSpaceDN w:val="0"/>
              <w:ind w:firstLine="0" w:firstLineChars="0"/>
              <w:jc w:val="center"/>
              <w:rPr>
                <w:rFonts w:ascii="仿宋" w:hAnsi="仿宋" w:cs="仿宋"/>
                <w:b/>
                <w:bCs/>
                <w:color w:val="000000" w:themeColor="text1"/>
                <w:kern w:val="0"/>
                <w:sz w:val="21"/>
                <w:szCs w:val="21"/>
                <w14:textFill>
                  <w14:solidFill>
                    <w14:schemeClr w14:val="tx1"/>
                  </w14:solidFill>
                </w14:textFill>
              </w:rPr>
            </w:pPr>
            <w:r>
              <w:rPr>
                <w:rFonts w:hint="eastAsia" w:ascii="仿宋" w:hAnsi="仿宋" w:cs="仿宋"/>
                <w:b/>
                <w:bCs/>
                <w:color w:val="000000" w:themeColor="text1"/>
                <w:kern w:val="0"/>
                <w:sz w:val="21"/>
                <w:szCs w:val="21"/>
                <w14:textFill>
                  <w14:solidFill>
                    <w14:schemeClr w14:val="tx1"/>
                  </w14:solidFill>
                </w14:textFill>
              </w:rPr>
              <w:t>比例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101" w:hRule="atLeast"/>
          <w:jc w:val="center"/>
        </w:trPr>
        <w:tc>
          <w:tcPr>
            <w:tcW w:w="1256" w:type="dxa"/>
            <w:vMerge w:val="restart"/>
            <w:tcBorders>
              <w:top w:val="single" w:color="auto" w:sz="8" w:space="0"/>
            </w:tcBorders>
            <w:vAlign w:val="center"/>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r>
              <w:rPr>
                <w:rFonts w:hint="eastAsia" w:ascii="仿宋" w:hAnsi="仿宋" w:cs="仿宋"/>
                <w:spacing w:val="3"/>
                <w:sz w:val="21"/>
                <w:szCs w:val="21"/>
              </w:rPr>
              <w:t>一、物联网设备安装与调试（2</w:t>
            </w:r>
            <w:r>
              <w:rPr>
                <w:rFonts w:ascii="仿宋" w:hAnsi="仿宋" w:cs="仿宋"/>
                <w:spacing w:val="3"/>
                <w:sz w:val="21"/>
                <w:szCs w:val="21"/>
              </w:rPr>
              <w:t>2</w:t>
            </w:r>
            <w:r>
              <w:rPr>
                <w:rFonts w:hint="eastAsia" w:ascii="仿宋" w:hAnsi="仿宋" w:cs="仿宋"/>
                <w:spacing w:val="3"/>
                <w:sz w:val="21"/>
                <w:szCs w:val="21"/>
              </w:rPr>
              <w:t>%）</w:t>
            </w:r>
          </w:p>
        </w:tc>
        <w:tc>
          <w:tcPr>
            <w:tcW w:w="1985" w:type="dxa"/>
            <w:vMerge w:val="restart"/>
            <w:tcBorders>
              <w:top w:val="single" w:color="auto" w:sz="8" w:space="0"/>
            </w:tcBorders>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设备安装和连线（1</w:t>
            </w:r>
            <w:r>
              <w:rPr>
                <w:rFonts w:ascii="仿宋" w:hAnsi="仿宋" w:cs="仿宋"/>
                <w:spacing w:val="3"/>
                <w:sz w:val="21"/>
                <w:szCs w:val="21"/>
              </w:rPr>
              <w:t>5</w:t>
            </w:r>
            <w:r>
              <w:rPr>
                <w:rFonts w:hint="eastAsia" w:ascii="仿宋" w:hAnsi="仿宋" w:cs="仿宋"/>
                <w:spacing w:val="3"/>
                <w:sz w:val="21"/>
                <w:szCs w:val="21"/>
              </w:rPr>
              <w:t>%）</w:t>
            </w:r>
          </w:p>
        </w:tc>
        <w:tc>
          <w:tcPr>
            <w:tcW w:w="4110" w:type="dxa"/>
            <w:tcBorders>
              <w:top w:val="single" w:color="auto" w:sz="8" w:space="0"/>
            </w:tcBorders>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设备选型和安装、设备的连线</w:t>
            </w:r>
          </w:p>
        </w:tc>
        <w:tc>
          <w:tcPr>
            <w:tcW w:w="914" w:type="dxa"/>
            <w:tcBorders>
              <w:top w:val="single" w:color="auto" w:sz="8" w:space="0"/>
            </w:tcBorders>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w:t>
            </w:r>
            <w:r>
              <w:rPr>
                <w:rFonts w:ascii="仿宋" w:hAnsi="仿宋" w:cs="仿宋"/>
                <w:spacing w:val="3"/>
                <w:sz w:val="21"/>
                <w:szCs w:val="21"/>
              </w:rPr>
              <w:t>12</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319" w:hRule="atLeast"/>
          <w:jc w:val="center"/>
        </w:trPr>
        <w:tc>
          <w:tcPr>
            <w:tcW w:w="1256" w:type="dxa"/>
            <w:vMerge w:val="continue"/>
            <w:vAlign w:val="center"/>
          </w:tcPr>
          <w:p>
            <w:pPr>
              <w:autoSpaceDE w:val="0"/>
              <w:autoSpaceDN w:val="0"/>
              <w:ind w:firstLine="420"/>
              <w:jc w:val="center"/>
              <w:rPr>
                <w:rFonts w:ascii="仿宋" w:hAnsi="仿宋" w:cs="仿宋"/>
                <w:bCs/>
                <w:color w:val="000000" w:themeColor="text1"/>
                <w:kern w:val="0"/>
                <w:sz w:val="21"/>
                <w:szCs w:val="21"/>
                <w14:textFill>
                  <w14:solidFill>
                    <w14:schemeClr w14:val="tx1"/>
                  </w14:solidFill>
                </w14:textFill>
              </w:rPr>
            </w:pPr>
          </w:p>
        </w:tc>
        <w:tc>
          <w:tcPr>
            <w:tcW w:w="1985" w:type="dxa"/>
            <w:vMerge w:val="continue"/>
            <w:vAlign w:val="center"/>
          </w:tcPr>
          <w:p>
            <w:pPr>
              <w:autoSpaceDE w:val="0"/>
              <w:autoSpaceDN w:val="0"/>
              <w:ind w:firstLine="432"/>
              <w:jc w:val="center"/>
              <w:rPr>
                <w:rFonts w:ascii="仿宋" w:hAnsi="仿宋" w:cs="仿宋"/>
                <w:spacing w:val="3"/>
                <w:sz w:val="21"/>
                <w:szCs w:val="21"/>
              </w:rPr>
            </w:pPr>
          </w:p>
        </w:tc>
        <w:tc>
          <w:tcPr>
            <w:tcW w:w="4110"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线槽的安装</w:t>
            </w:r>
          </w:p>
        </w:tc>
        <w:tc>
          <w:tcPr>
            <w:tcW w:w="914"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319" w:hRule="atLeast"/>
          <w:jc w:val="center"/>
        </w:trPr>
        <w:tc>
          <w:tcPr>
            <w:tcW w:w="1256" w:type="dxa"/>
            <w:vMerge w:val="continue"/>
            <w:vAlign w:val="center"/>
          </w:tcPr>
          <w:p>
            <w:pPr>
              <w:autoSpaceDE w:val="0"/>
              <w:autoSpaceDN w:val="0"/>
              <w:ind w:firstLine="420"/>
              <w:jc w:val="center"/>
              <w:rPr>
                <w:rFonts w:ascii="仿宋" w:hAnsi="仿宋" w:cs="仿宋"/>
                <w:bCs/>
                <w:color w:val="000000" w:themeColor="text1"/>
                <w:kern w:val="0"/>
                <w:sz w:val="21"/>
                <w:szCs w:val="21"/>
                <w14:textFill>
                  <w14:solidFill>
                    <w14:schemeClr w14:val="tx1"/>
                  </w14:solidFill>
                </w14:textFill>
              </w:rPr>
            </w:pPr>
          </w:p>
        </w:tc>
        <w:tc>
          <w:tcPr>
            <w:tcW w:w="1985" w:type="dxa"/>
            <w:vMerge w:val="continue"/>
            <w:vAlign w:val="center"/>
          </w:tcPr>
          <w:p>
            <w:pPr>
              <w:autoSpaceDE w:val="0"/>
              <w:autoSpaceDN w:val="0"/>
              <w:ind w:firstLine="432"/>
              <w:jc w:val="center"/>
              <w:rPr>
                <w:rFonts w:ascii="仿宋" w:hAnsi="仿宋" w:cs="仿宋"/>
                <w:spacing w:val="3"/>
                <w:sz w:val="21"/>
                <w:szCs w:val="21"/>
              </w:rPr>
            </w:pPr>
          </w:p>
        </w:tc>
        <w:tc>
          <w:tcPr>
            <w:tcW w:w="4110"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网线的制作</w:t>
            </w:r>
          </w:p>
        </w:tc>
        <w:tc>
          <w:tcPr>
            <w:tcW w:w="914"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403" w:hRule="atLeast"/>
          <w:jc w:val="center"/>
        </w:trPr>
        <w:tc>
          <w:tcPr>
            <w:tcW w:w="1256" w:type="dxa"/>
            <w:vMerge w:val="continue"/>
            <w:vAlign w:val="center"/>
          </w:tcPr>
          <w:p>
            <w:pPr>
              <w:autoSpaceDE w:val="0"/>
              <w:autoSpaceDN w:val="0"/>
              <w:ind w:firstLine="420"/>
              <w:jc w:val="center"/>
              <w:rPr>
                <w:rFonts w:ascii="仿宋" w:hAnsi="仿宋" w:cs="仿宋"/>
                <w:bCs/>
                <w:color w:val="000000" w:themeColor="text1"/>
                <w:kern w:val="0"/>
                <w:sz w:val="21"/>
                <w:szCs w:val="21"/>
                <w14:textFill>
                  <w14:solidFill>
                    <w14:schemeClr w14:val="tx1"/>
                  </w14:solidFill>
                </w14:textFill>
              </w:rPr>
            </w:pPr>
          </w:p>
        </w:tc>
        <w:tc>
          <w:tcPr>
            <w:tcW w:w="1985" w:type="dxa"/>
            <w:vMerge w:val="restart"/>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设备配置和使用（7%）</w:t>
            </w:r>
          </w:p>
        </w:tc>
        <w:tc>
          <w:tcPr>
            <w:tcW w:w="4110"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条码打印机、LED屏、UHP读写器的使用</w:t>
            </w:r>
          </w:p>
        </w:tc>
        <w:tc>
          <w:tcPr>
            <w:tcW w:w="914"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319" w:hRule="atLeast"/>
          <w:jc w:val="center"/>
        </w:trPr>
        <w:tc>
          <w:tcPr>
            <w:tcW w:w="1256" w:type="dxa"/>
            <w:vMerge w:val="continue"/>
            <w:vAlign w:val="center"/>
          </w:tcPr>
          <w:p>
            <w:pPr>
              <w:autoSpaceDE w:val="0"/>
              <w:autoSpaceDN w:val="0"/>
              <w:ind w:firstLine="420"/>
              <w:jc w:val="center"/>
              <w:rPr>
                <w:rFonts w:ascii="仿宋" w:hAnsi="仿宋" w:cs="仿宋"/>
                <w:bCs/>
                <w:color w:val="000000" w:themeColor="text1"/>
                <w:kern w:val="0"/>
                <w:sz w:val="21"/>
                <w:szCs w:val="21"/>
                <w14:textFill>
                  <w14:solidFill>
                    <w14:schemeClr w14:val="tx1"/>
                  </w14:solidFill>
                </w14:textFill>
              </w:rPr>
            </w:pPr>
          </w:p>
        </w:tc>
        <w:tc>
          <w:tcPr>
            <w:tcW w:w="1985" w:type="dxa"/>
            <w:vMerge w:val="continue"/>
            <w:vAlign w:val="center"/>
          </w:tcPr>
          <w:p>
            <w:pPr>
              <w:autoSpaceDE w:val="0"/>
              <w:autoSpaceDN w:val="0"/>
              <w:ind w:firstLine="432"/>
              <w:jc w:val="center"/>
              <w:rPr>
                <w:rFonts w:ascii="仿宋" w:hAnsi="仿宋" w:cs="仿宋"/>
                <w:spacing w:val="3"/>
                <w:sz w:val="21"/>
                <w:szCs w:val="21"/>
              </w:rPr>
            </w:pPr>
          </w:p>
        </w:tc>
        <w:tc>
          <w:tcPr>
            <w:tcW w:w="4110"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Zigbee、Lora、NS烧写配置</w:t>
            </w:r>
          </w:p>
        </w:tc>
        <w:tc>
          <w:tcPr>
            <w:tcW w:w="914"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139" w:hRule="atLeast"/>
          <w:jc w:val="center"/>
        </w:trPr>
        <w:tc>
          <w:tcPr>
            <w:tcW w:w="1256" w:type="dxa"/>
            <w:vMerge w:val="restart"/>
            <w:vAlign w:val="center"/>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r>
              <w:rPr>
                <w:rFonts w:hint="eastAsia" w:ascii="仿宋" w:hAnsi="仿宋" w:cs="仿宋"/>
                <w:bCs/>
                <w:color w:val="000000" w:themeColor="text1"/>
                <w:kern w:val="0"/>
                <w:sz w:val="21"/>
                <w:szCs w:val="21"/>
                <w14:textFill>
                  <w14:solidFill>
                    <w14:schemeClr w14:val="tx1"/>
                  </w14:solidFill>
                </w14:textFill>
              </w:rPr>
              <w:t>二、</w:t>
            </w:r>
            <w:r>
              <w:rPr>
                <w:rFonts w:hint="eastAsia" w:ascii="仿宋" w:cs="仿宋"/>
                <w:spacing w:val="3"/>
                <w:sz w:val="21"/>
                <w:szCs w:val="21"/>
              </w:rPr>
              <w:t>物联网网络搭建与配置</w:t>
            </w:r>
            <w:r>
              <w:rPr>
                <w:rFonts w:hint="eastAsia" w:ascii="仿宋" w:hAnsi="仿宋" w:cs="仿宋"/>
                <w:bCs/>
                <w:color w:val="000000" w:themeColor="text1"/>
                <w:kern w:val="0"/>
                <w:sz w:val="21"/>
                <w:szCs w:val="21"/>
                <w14:textFill>
                  <w14:solidFill>
                    <w14:schemeClr w14:val="tx1"/>
                  </w14:solidFill>
                </w14:textFill>
              </w:rPr>
              <w:t>（1</w:t>
            </w:r>
            <w:r>
              <w:rPr>
                <w:rFonts w:ascii="仿宋" w:hAnsi="仿宋" w:cs="仿宋"/>
                <w:bCs/>
                <w:color w:val="000000" w:themeColor="text1"/>
                <w:kern w:val="0"/>
                <w:sz w:val="21"/>
                <w:szCs w:val="21"/>
                <w14:textFill>
                  <w14:solidFill>
                    <w14:schemeClr w14:val="tx1"/>
                  </w14:solidFill>
                </w14:textFill>
              </w:rPr>
              <w:t>5</w:t>
            </w:r>
            <w:r>
              <w:rPr>
                <w:rFonts w:hint="eastAsia" w:ascii="仿宋" w:hAnsi="仿宋" w:cs="仿宋"/>
                <w:bCs/>
                <w:color w:val="000000" w:themeColor="text1"/>
                <w:kern w:val="0"/>
                <w:sz w:val="21"/>
                <w:szCs w:val="21"/>
                <w14:textFill>
                  <w14:solidFill>
                    <w14:schemeClr w14:val="tx1"/>
                  </w14:solidFill>
                </w14:textFill>
              </w:rPr>
              <w:t>%）</w:t>
            </w:r>
          </w:p>
        </w:tc>
        <w:tc>
          <w:tcPr>
            <w:tcW w:w="1985"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网络设备配置</w:t>
            </w:r>
          </w:p>
        </w:tc>
        <w:tc>
          <w:tcPr>
            <w:tcW w:w="4110"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 xml:space="preserve">路由器配置 </w:t>
            </w:r>
          </w:p>
        </w:tc>
        <w:tc>
          <w:tcPr>
            <w:tcW w:w="914"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（3</w:t>
            </w:r>
            <w:r>
              <w:rPr>
                <w:rFonts w:ascii="仿宋" w:hAnsi="仿宋" w:cs="仿宋"/>
                <w:spacing w:val="3"/>
                <w:sz w:val="21"/>
                <w:szCs w:val="21"/>
              </w:rPr>
              <w:t>%</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40" w:hRule="atLeast"/>
          <w:jc w:val="center"/>
        </w:trPr>
        <w:tc>
          <w:tcPr>
            <w:tcW w:w="1256" w:type="dxa"/>
            <w:vMerge w:val="continue"/>
            <w:vAlign w:val="center"/>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p>
        </w:tc>
        <w:tc>
          <w:tcPr>
            <w:tcW w:w="1985" w:type="dxa"/>
            <w:vMerge w:val="restart"/>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局域网各设备配置</w:t>
            </w:r>
          </w:p>
        </w:tc>
        <w:tc>
          <w:tcPr>
            <w:tcW w:w="4110"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物联网网关、串口服务、计算机服务器器、网络摄像头等设备IP配置</w:t>
            </w:r>
          </w:p>
        </w:tc>
        <w:tc>
          <w:tcPr>
            <w:tcW w:w="914"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（2</w:t>
            </w:r>
            <w:r>
              <w:rPr>
                <w:rFonts w:ascii="仿宋" w:hAnsi="仿宋" w:cs="仿宋"/>
                <w:spacing w:val="3"/>
                <w:sz w:val="21"/>
                <w:szCs w:val="21"/>
              </w:rPr>
              <w:t>%</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40" w:hRule="atLeast"/>
          <w:jc w:val="center"/>
        </w:trPr>
        <w:tc>
          <w:tcPr>
            <w:tcW w:w="1256" w:type="dxa"/>
            <w:vMerge w:val="continue"/>
            <w:vAlign w:val="center"/>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p>
        </w:tc>
        <w:tc>
          <w:tcPr>
            <w:tcW w:w="1985" w:type="dxa"/>
            <w:vMerge w:val="continue"/>
            <w:vAlign w:val="center"/>
          </w:tcPr>
          <w:p>
            <w:pPr>
              <w:autoSpaceDE w:val="0"/>
              <w:autoSpaceDN w:val="0"/>
              <w:ind w:firstLine="0" w:firstLineChars="0"/>
              <w:jc w:val="center"/>
              <w:rPr>
                <w:rFonts w:ascii="仿宋" w:hAnsi="仿宋" w:cs="仿宋"/>
                <w:spacing w:val="3"/>
                <w:sz w:val="21"/>
                <w:szCs w:val="21"/>
              </w:rPr>
            </w:pPr>
          </w:p>
        </w:tc>
        <w:tc>
          <w:tcPr>
            <w:tcW w:w="4110"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物联网网关配置、串口服务器配置</w:t>
            </w:r>
          </w:p>
        </w:tc>
        <w:tc>
          <w:tcPr>
            <w:tcW w:w="914"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w:t>
            </w:r>
            <w:r>
              <w:rPr>
                <w:rFonts w:ascii="仿宋" w:hAnsi="仿宋" w:cs="仿宋"/>
                <w:spacing w:val="3"/>
                <w:sz w:val="21"/>
                <w:szCs w:val="21"/>
              </w:rPr>
              <w:t>2%</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40" w:hRule="atLeast"/>
          <w:jc w:val="center"/>
        </w:trPr>
        <w:tc>
          <w:tcPr>
            <w:tcW w:w="1256" w:type="dxa"/>
            <w:vMerge w:val="continue"/>
            <w:vAlign w:val="center"/>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p>
        </w:tc>
        <w:tc>
          <w:tcPr>
            <w:tcW w:w="1985" w:type="dxa"/>
            <w:vMerge w:val="continue"/>
            <w:vAlign w:val="center"/>
          </w:tcPr>
          <w:p>
            <w:pPr>
              <w:autoSpaceDE w:val="0"/>
              <w:autoSpaceDN w:val="0"/>
              <w:ind w:firstLine="0" w:firstLineChars="0"/>
              <w:jc w:val="center"/>
              <w:rPr>
                <w:rFonts w:ascii="仿宋" w:hAnsi="仿宋" w:cs="仿宋"/>
                <w:spacing w:val="3"/>
                <w:sz w:val="21"/>
                <w:szCs w:val="21"/>
              </w:rPr>
            </w:pPr>
          </w:p>
        </w:tc>
        <w:tc>
          <w:tcPr>
            <w:tcW w:w="4110"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ADAM</w:t>
            </w:r>
            <w:r>
              <w:rPr>
                <w:rFonts w:ascii="仿宋" w:hAnsi="仿宋" w:cs="仿宋"/>
                <w:spacing w:val="3"/>
                <w:sz w:val="21"/>
                <w:szCs w:val="21"/>
              </w:rPr>
              <w:t>4150</w:t>
            </w:r>
            <w:r>
              <w:rPr>
                <w:rFonts w:hint="eastAsia" w:ascii="仿宋" w:hAnsi="仿宋" w:cs="仿宋"/>
                <w:spacing w:val="3"/>
                <w:sz w:val="21"/>
                <w:szCs w:val="21"/>
              </w:rPr>
              <w:t>、ADAM</w:t>
            </w:r>
            <w:r>
              <w:rPr>
                <w:rFonts w:ascii="仿宋" w:hAnsi="仿宋" w:cs="仿宋"/>
                <w:spacing w:val="3"/>
                <w:sz w:val="21"/>
                <w:szCs w:val="21"/>
              </w:rPr>
              <w:t>4017</w:t>
            </w:r>
            <w:r>
              <w:rPr>
                <w:rFonts w:hint="eastAsia" w:ascii="仿宋" w:hAnsi="仿宋" w:cs="仿宋"/>
                <w:spacing w:val="3"/>
                <w:sz w:val="21"/>
                <w:szCs w:val="21"/>
              </w:rPr>
              <w:t>、LED显示屏、Zigbee协调器、RGB灯带等配置</w:t>
            </w:r>
          </w:p>
        </w:tc>
        <w:tc>
          <w:tcPr>
            <w:tcW w:w="914"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（2</w:t>
            </w:r>
            <w:r>
              <w:rPr>
                <w:rFonts w:ascii="仿宋" w:hAnsi="仿宋" w:cs="仿宋"/>
                <w:spacing w:val="3"/>
                <w:sz w:val="21"/>
                <w:szCs w:val="21"/>
              </w:rPr>
              <w:t>%</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40" w:hRule="atLeast"/>
          <w:jc w:val="center"/>
        </w:trPr>
        <w:tc>
          <w:tcPr>
            <w:tcW w:w="1256" w:type="dxa"/>
            <w:vMerge w:val="continue"/>
            <w:vAlign w:val="center"/>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p>
        </w:tc>
        <w:tc>
          <w:tcPr>
            <w:tcW w:w="1985" w:type="dxa"/>
            <w:vMerge w:val="restart"/>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物联网系统设计</w:t>
            </w:r>
          </w:p>
        </w:tc>
        <w:tc>
          <w:tcPr>
            <w:tcW w:w="4110"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系统拓扑、局域网网络设计</w:t>
            </w:r>
          </w:p>
        </w:tc>
        <w:tc>
          <w:tcPr>
            <w:tcW w:w="914"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w:t>
            </w:r>
            <w:r>
              <w:rPr>
                <w:rFonts w:ascii="仿宋" w:hAnsi="仿宋" w:cs="仿宋"/>
                <w:spacing w:val="3"/>
                <w:sz w:val="21"/>
                <w:szCs w:val="21"/>
              </w:rPr>
              <w:t>3%</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40" w:hRule="atLeast"/>
          <w:jc w:val="center"/>
        </w:trPr>
        <w:tc>
          <w:tcPr>
            <w:tcW w:w="1256" w:type="dxa"/>
            <w:vMerge w:val="continue"/>
            <w:vAlign w:val="center"/>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p>
        </w:tc>
        <w:tc>
          <w:tcPr>
            <w:tcW w:w="1985" w:type="dxa"/>
            <w:vMerge w:val="continue"/>
            <w:vAlign w:val="center"/>
          </w:tcPr>
          <w:p>
            <w:pPr>
              <w:autoSpaceDE w:val="0"/>
              <w:autoSpaceDN w:val="0"/>
              <w:ind w:firstLine="0" w:firstLineChars="0"/>
              <w:jc w:val="center"/>
              <w:rPr>
                <w:rFonts w:ascii="仿宋" w:hAnsi="仿宋" w:cs="仿宋"/>
                <w:spacing w:val="3"/>
                <w:sz w:val="21"/>
                <w:szCs w:val="21"/>
              </w:rPr>
            </w:pPr>
          </w:p>
        </w:tc>
        <w:tc>
          <w:tcPr>
            <w:tcW w:w="4110"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物联网关键知识应用</w:t>
            </w:r>
          </w:p>
        </w:tc>
        <w:tc>
          <w:tcPr>
            <w:tcW w:w="914"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w:t>
            </w:r>
            <w:r>
              <w:rPr>
                <w:rFonts w:ascii="仿宋" w:hAnsi="仿宋" w:cs="仿宋"/>
                <w:spacing w:val="3"/>
                <w:sz w:val="21"/>
                <w:szCs w:val="21"/>
              </w:rPr>
              <w:t>3%</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187" w:hRule="atLeast"/>
          <w:jc w:val="center"/>
        </w:trPr>
        <w:tc>
          <w:tcPr>
            <w:tcW w:w="1256" w:type="dxa"/>
            <w:vMerge w:val="restart"/>
            <w:vAlign w:val="center"/>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r>
              <w:rPr>
                <w:rFonts w:hint="eastAsia" w:ascii="仿宋" w:hAnsi="仿宋" w:cs="仿宋"/>
                <w:bCs/>
                <w:color w:val="000000" w:themeColor="text1"/>
                <w:kern w:val="0"/>
                <w:sz w:val="21"/>
                <w:szCs w:val="21"/>
                <w14:textFill>
                  <w14:solidFill>
                    <w14:schemeClr w14:val="tx1"/>
                  </w14:solidFill>
                </w14:textFill>
              </w:rPr>
              <w:t>三、物联网软件部署与系统集成（1</w:t>
            </w:r>
            <w:r>
              <w:rPr>
                <w:rFonts w:ascii="仿宋" w:hAnsi="仿宋" w:cs="仿宋"/>
                <w:bCs/>
                <w:color w:val="000000" w:themeColor="text1"/>
                <w:kern w:val="0"/>
                <w:sz w:val="21"/>
                <w:szCs w:val="21"/>
                <w14:textFill>
                  <w14:solidFill>
                    <w14:schemeClr w14:val="tx1"/>
                  </w14:solidFill>
                </w14:textFill>
              </w:rPr>
              <w:t>5</w:t>
            </w:r>
            <w:r>
              <w:rPr>
                <w:rFonts w:hint="eastAsia" w:ascii="仿宋" w:hAnsi="仿宋" w:cs="仿宋"/>
                <w:bCs/>
                <w:color w:val="000000" w:themeColor="text1"/>
                <w:kern w:val="0"/>
                <w:sz w:val="21"/>
                <w:szCs w:val="21"/>
                <w14:textFill>
                  <w14:solidFill>
                    <w14:schemeClr w14:val="tx1"/>
                  </w14:solidFill>
                </w14:textFill>
              </w:rPr>
              <w:t>%）</w:t>
            </w:r>
          </w:p>
        </w:tc>
        <w:tc>
          <w:tcPr>
            <w:tcW w:w="1985"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物联网应用系统部署和使用</w:t>
            </w:r>
          </w:p>
        </w:tc>
        <w:tc>
          <w:tcPr>
            <w:tcW w:w="4110"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物联网应用系统部署和使用</w:t>
            </w:r>
          </w:p>
        </w:tc>
        <w:tc>
          <w:tcPr>
            <w:tcW w:w="914"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w:t>
            </w:r>
            <w:r>
              <w:rPr>
                <w:rFonts w:ascii="仿宋" w:hAnsi="仿宋" w:cs="仿宋"/>
                <w:spacing w:val="3"/>
                <w:sz w:val="21"/>
                <w:szCs w:val="21"/>
              </w:rPr>
              <w:t>3%</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46" w:hRule="atLeast"/>
          <w:jc w:val="center"/>
        </w:trPr>
        <w:tc>
          <w:tcPr>
            <w:tcW w:w="1256" w:type="dxa"/>
            <w:vMerge w:val="continue"/>
            <w:vAlign w:val="center"/>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p>
        </w:tc>
        <w:tc>
          <w:tcPr>
            <w:tcW w:w="1985" w:type="dxa"/>
            <w:vMerge w:val="restart"/>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物联网云平台配置和系统设计</w:t>
            </w:r>
          </w:p>
        </w:tc>
        <w:tc>
          <w:tcPr>
            <w:tcW w:w="4110"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物联网云平台配置、项目添加、传感器执行器添加、控制策略设计等</w:t>
            </w:r>
          </w:p>
        </w:tc>
        <w:tc>
          <w:tcPr>
            <w:tcW w:w="914"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w:t>
            </w:r>
            <w:r>
              <w:rPr>
                <w:rFonts w:ascii="仿宋" w:hAnsi="仿宋" w:cs="仿宋"/>
                <w:spacing w:val="3"/>
                <w:sz w:val="21"/>
                <w:szCs w:val="21"/>
              </w:rPr>
              <w:t>4%</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46" w:hRule="atLeast"/>
          <w:jc w:val="center"/>
        </w:trPr>
        <w:tc>
          <w:tcPr>
            <w:tcW w:w="1256" w:type="dxa"/>
            <w:vMerge w:val="continue"/>
            <w:vAlign w:val="center"/>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p>
        </w:tc>
        <w:tc>
          <w:tcPr>
            <w:tcW w:w="1985" w:type="dxa"/>
            <w:vMerge w:val="continue"/>
            <w:vAlign w:val="center"/>
          </w:tcPr>
          <w:p>
            <w:pPr>
              <w:ind w:firstLine="0" w:firstLineChars="0"/>
              <w:jc w:val="center"/>
              <w:rPr>
                <w:rFonts w:ascii="仿宋" w:hAnsi="仿宋" w:cs="仿宋"/>
                <w:spacing w:val="3"/>
                <w:sz w:val="21"/>
                <w:szCs w:val="21"/>
              </w:rPr>
            </w:pPr>
          </w:p>
        </w:tc>
        <w:tc>
          <w:tcPr>
            <w:tcW w:w="4110"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云平台图形化应用设计</w:t>
            </w:r>
          </w:p>
        </w:tc>
        <w:tc>
          <w:tcPr>
            <w:tcW w:w="914"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（8</w:t>
            </w:r>
            <w:r>
              <w:rPr>
                <w:rFonts w:ascii="仿宋" w:hAnsi="仿宋" w:cs="仿宋"/>
                <w:spacing w:val="3"/>
                <w:sz w:val="21"/>
                <w:szCs w:val="21"/>
              </w:rPr>
              <w:t>%</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80" w:hRule="atLeast"/>
          <w:jc w:val="center"/>
        </w:trPr>
        <w:tc>
          <w:tcPr>
            <w:tcW w:w="1256" w:type="dxa"/>
            <w:vMerge w:val="restart"/>
            <w:vAlign w:val="center"/>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r>
              <w:rPr>
                <w:rFonts w:hint="eastAsia" w:ascii="仿宋" w:hAnsi="仿宋" w:cs="仿宋"/>
                <w:bCs/>
                <w:color w:val="000000" w:themeColor="text1"/>
                <w:kern w:val="0"/>
                <w:sz w:val="21"/>
                <w:szCs w:val="21"/>
                <w14:textFill>
                  <w14:solidFill>
                    <w14:schemeClr w14:val="tx1"/>
                  </w14:solidFill>
                </w14:textFill>
              </w:rPr>
              <w:t>四、物联网平台运行维护（2</w:t>
            </w:r>
            <w:r>
              <w:rPr>
                <w:rFonts w:ascii="仿宋" w:hAnsi="仿宋" w:cs="仿宋"/>
                <w:bCs/>
                <w:color w:val="000000" w:themeColor="text1"/>
                <w:kern w:val="0"/>
                <w:sz w:val="21"/>
                <w:szCs w:val="21"/>
                <w14:textFill>
                  <w14:solidFill>
                    <w14:schemeClr w14:val="tx1"/>
                  </w14:solidFill>
                </w14:textFill>
              </w:rPr>
              <w:t>0</w:t>
            </w:r>
            <w:r>
              <w:rPr>
                <w:rFonts w:hint="eastAsia" w:ascii="仿宋" w:hAnsi="仿宋" w:cs="仿宋"/>
                <w:bCs/>
                <w:color w:val="000000" w:themeColor="text1"/>
                <w:kern w:val="0"/>
                <w:sz w:val="21"/>
                <w:szCs w:val="21"/>
                <w14:textFill>
                  <w14:solidFill>
                    <w14:schemeClr w14:val="tx1"/>
                  </w14:solidFill>
                </w14:textFill>
              </w:rPr>
              <w:t>%）</w:t>
            </w:r>
          </w:p>
        </w:tc>
        <w:tc>
          <w:tcPr>
            <w:tcW w:w="1985" w:type="dxa"/>
            <w:vMerge w:val="restart"/>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操作系统维护</w:t>
            </w:r>
          </w:p>
        </w:tc>
        <w:tc>
          <w:tcPr>
            <w:tcW w:w="4110"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Windows系统维护</w:t>
            </w:r>
          </w:p>
        </w:tc>
        <w:tc>
          <w:tcPr>
            <w:tcW w:w="914"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（4</w:t>
            </w:r>
            <w:r>
              <w:rPr>
                <w:rFonts w:ascii="仿宋" w:hAnsi="仿宋" w:cs="仿宋"/>
                <w:spacing w:val="3"/>
                <w:sz w:val="21"/>
                <w:szCs w:val="21"/>
              </w:rPr>
              <w:t>%</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128" w:hRule="atLeast"/>
          <w:jc w:val="center"/>
        </w:trPr>
        <w:tc>
          <w:tcPr>
            <w:tcW w:w="1256" w:type="dxa"/>
            <w:vMerge w:val="continue"/>
            <w:vAlign w:val="center"/>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p>
        </w:tc>
        <w:tc>
          <w:tcPr>
            <w:tcW w:w="1985" w:type="dxa"/>
            <w:vMerge w:val="continue"/>
            <w:vAlign w:val="center"/>
          </w:tcPr>
          <w:p>
            <w:pPr>
              <w:ind w:firstLine="0" w:firstLineChars="0"/>
              <w:jc w:val="center"/>
              <w:rPr>
                <w:rFonts w:ascii="仿宋" w:hAnsi="仿宋" w:cs="仿宋"/>
                <w:spacing w:val="3"/>
                <w:sz w:val="21"/>
                <w:szCs w:val="21"/>
              </w:rPr>
            </w:pPr>
          </w:p>
        </w:tc>
        <w:tc>
          <w:tcPr>
            <w:tcW w:w="4110"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Ubuntu系统维护</w:t>
            </w:r>
          </w:p>
        </w:tc>
        <w:tc>
          <w:tcPr>
            <w:tcW w:w="914"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（6</w:t>
            </w:r>
            <w:r>
              <w:rPr>
                <w:rFonts w:ascii="仿宋" w:hAnsi="仿宋" w:cs="仿宋"/>
                <w:spacing w:val="3"/>
                <w:sz w:val="21"/>
                <w:szCs w:val="21"/>
              </w:rPr>
              <w:t>%</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122" w:hRule="atLeast"/>
          <w:jc w:val="center"/>
        </w:trPr>
        <w:tc>
          <w:tcPr>
            <w:tcW w:w="1256" w:type="dxa"/>
            <w:vMerge w:val="continue"/>
            <w:vAlign w:val="center"/>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p>
        </w:tc>
        <w:tc>
          <w:tcPr>
            <w:tcW w:w="1985"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数据库系统维护</w:t>
            </w:r>
          </w:p>
        </w:tc>
        <w:tc>
          <w:tcPr>
            <w:tcW w:w="4110"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MySQL、SQLServer等数据库应用与维护</w:t>
            </w:r>
          </w:p>
        </w:tc>
        <w:tc>
          <w:tcPr>
            <w:tcW w:w="914"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（6</w:t>
            </w:r>
            <w:r>
              <w:rPr>
                <w:rFonts w:ascii="仿宋" w:hAnsi="仿宋" w:cs="仿宋"/>
                <w:spacing w:val="3"/>
                <w:sz w:val="21"/>
                <w:szCs w:val="21"/>
              </w:rPr>
              <w:t>%</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246" w:hRule="atLeast"/>
          <w:jc w:val="center"/>
        </w:trPr>
        <w:tc>
          <w:tcPr>
            <w:tcW w:w="1256" w:type="dxa"/>
            <w:vMerge w:val="continue"/>
            <w:vAlign w:val="center"/>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p>
        </w:tc>
        <w:tc>
          <w:tcPr>
            <w:tcW w:w="1985"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其他软件系统维护</w:t>
            </w:r>
          </w:p>
        </w:tc>
        <w:tc>
          <w:tcPr>
            <w:tcW w:w="4110"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串口调试助手等软件应用与维护、终端设备软件应用维护</w:t>
            </w:r>
          </w:p>
        </w:tc>
        <w:tc>
          <w:tcPr>
            <w:tcW w:w="914"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（4</w:t>
            </w:r>
            <w:r>
              <w:rPr>
                <w:rFonts w:ascii="仿宋" w:hAnsi="仿宋" w:cs="仿宋"/>
                <w:spacing w:val="3"/>
                <w:sz w:val="21"/>
                <w:szCs w:val="21"/>
              </w:rPr>
              <w:t>%</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62" w:hRule="atLeast"/>
          <w:jc w:val="center"/>
        </w:trPr>
        <w:tc>
          <w:tcPr>
            <w:tcW w:w="1256" w:type="dxa"/>
            <w:vMerge w:val="restart"/>
            <w:vAlign w:val="center"/>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r>
              <w:rPr>
                <w:rFonts w:hint="eastAsia" w:ascii="仿宋" w:cs="仿宋"/>
                <w:spacing w:val="3"/>
                <w:sz w:val="21"/>
                <w:szCs w:val="21"/>
              </w:rPr>
              <w:t>五、物联网应用辅助开发（2</w:t>
            </w:r>
            <w:r>
              <w:rPr>
                <w:rFonts w:ascii="仿宋" w:cs="仿宋"/>
                <w:spacing w:val="3"/>
                <w:sz w:val="21"/>
                <w:szCs w:val="21"/>
              </w:rPr>
              <w:t>5</w:t>
            </w:r>
            <w:r>
              <w:rPr>
                <w:rFonts w:hint="eastAsia" w:ascii="仿宋" w:cs="仿宋"/>
                <w:spacing w:val="3"/>
                <w:sz w:val="21"/>
                <w:szCs w:val="21"/>
              </w:rPr>
              <w:t>）</w:t>
            </w:r>
          </w:p>
        </w:tc>
        <w:tc>
          <w:tcPr>
            <w:tcW w:w="1985"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物联网应用原型设计</w:t>
            </w:r>
          </w:p>
        </w:tc>
        <w:tc>
          <w:tcPr>
            <w:tcW w:w="4110" w:type="dxa"/>
            <w:vAlign w:val="center"/>
          </w:tcPr>
          <w:p>
            <w:pPr>
              <w:ind w:firstLine="432"/>
              <w:jc w:val="center"/>
              <w:rPr>
                <w:rFonts w:ascii="仿宋" w:hAnsi="仿宋" w:cs="仿宋"/>
                <w:spacing w:val="3"/>
                <w:sz w:val="21"/>
                <w:szCs w:val="21"/>
              </w:rPr>
            </w:pPr>
            <w:r>
              <w:rPr>
                <w:rFonts w:hint="eastAsia" w:ascii="仿宋" w:hAnsi="仿宋" w:cs="仿宋"/>
                <w:spacing w:val="3"/>
                <w:sz w:val="21"/>
                <w:szCs w:val="21"/>
              </w:rPr>
              <w:t>Axure原型设计与发布</w:t>
            </w:r>
          </w:p>
        </w:tc>
        <w:tc>
          <w:tcPr>
            <w:tcW w:w="914"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（3</w:t>
            </w:r>
            <w:r>
              <w:rPr>
                <w:rFonts w:ascii="仿宋" w:hAnsi="仿宋" w:cs="仿宋"/>
                <w:spacing w:val="3"/>
                <w:sz w:val="21"/>
                <w:szCs w:val="21"/>
              </w:rPr>
              <w:t>%</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719" w:hRule="atLeast"/>
          <w:jc w:val="center"/>
        </w:trPr>
        <w:tc>
          <w:tcPr>
            <w:tcW w:w="1256" w:type="dxa"/>
            <w:vMerge w:val="continue"/>
            <w:vAlign w:val="center"/>
          </w:tcPr>
          <w:p>
            <w:pPr>
              <w:autoSpaceDE w:val="0"/>
              <w:autoSpaceDN w:val="0"/>
              <w:ind w:firstLine="0" w:firstLineChars="0"/>
              <w:jc w:val="center"/>
              <w:rPr>
                <w:rFonts w:ascii="仿宋" w:cs="仿宋"/>
                <w:spacing w:val="3"/>
                <w:sz w:val="21"/>
                <w:szCs w:val="21"/>
              </w:rPr>
            </w:pPr>
          </w:p>
        </w:tc>
        <w:tc>
          <w:tcPr>
            <w:tcW w:w="1985"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Zigbee应用开发</w:t>
            </w:r>
          </w:p>
        </w:tc>
        <w:tc>
          <w:tcPr>
            <w:tcW w:w="4110" w:type="dxa"/>
            <w:vAlign w:val="center"/>
          </w:tcPr>
          <w:p>
            <w:pPr>
              <w:ind w:firstLine="432"/>
              <w:jc w:val="center"/>
              <w:rPr>
                <w:rFonts w:ascii="仿宋" w:hAnsi="仿宋" w:cs="仿宋"/>
                <w:spacing w:val="3"/>
                <w:sz w:val="21"/>
                <w:szCs w:val="21"/>
              </w:rPr>
            </w:pPr>
            <w:r>
              <w:rPr>
                <w:rFonts w:hint="eastAsia" w:ascii="仿宋" w:hAnsi="仿宋" w:cs="仿宋"/>
                <w:spacing w:val="3"/>
                <w:sz w:val="21"/>
                <w:szCs w:val="21"/>
              </w:rPr>
              <w:t>Zigbee节点、通信应用等开发</w:t>
            </w:r>
          </w:p>
        </w:tc>
        <w:tc>
          <w:tcPr>
            <w:tcW w:w="914"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（6</w:t>
            </w:r>
            <w:r>
              <w:rPr>
                <w:rFonts w:ascii="仿宋" w:hAnsi="仿宋" w:cs="仿宋"/>
                <w:spacing w:val="3"/>
                <w:sz w:val="21"/>
                <w:szCs w:val="21"/>
              </w:rPr>
              <w:t>%</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158" w:hRule="atLeast"/>
          <w:jc w:val="center"/>
        </w:trPr>
        <w:tc>
          <w:tcPr>
            <w:tcW w:w="1256" w:type="dxa"/>
            <w:vMerge w:val="continue"/>
            <w:vAlign w:val="center"/>
          </w:tcPr>
          <w:p>
            <w:pPr>
              <w:autoSpaceDE w:val="0"/>
              <w:autoSpaceDN w:val="0"/>
              <w:ind w:firstLine="0" w:firstLineChars="0"/>
              <w:jc w:val="center"/>
              <w:rPr>
                <w:rFonts w:ascii="仿宋" w:cs="仿宋"/>
                <w:spacing w:val="3"/>
                <w:sz w:val="21"/>
                <w:szCs w:val="21"/>
              </w:rPr>
            </w:pPr>
          </w:p>
        </w:tc>
        <w:tc>
          <w:tcPr>
            <w:tcW w:w="1985"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STM</w:t>
            </w:r>
            <w:r>
              <w:rPr>
                <w:rFonts w:ascii="仿宋" w:hAnsi="仿宋" w:cs="仿宋"/>
                <w:spacing w:val="3"/>
                <w:sz w:val="21"/>
                <w:szCs w:val="21"/>
              </w:rPr>
              <w:t>32</w:t>
            </w:r>
            <w:r>
              <w:rPr>
                <w:rFonts w:hint="eastAsia" w:ascii="仿宋" w:hAnsi="仿宋" w:cs="仿宋"/>
                <w:spacing w:val="3"/>
                <w:sz w:val="21"/>
                <w:szCs w:val="21"/>
              </w:rPr>
              <w:t>应用开发</w:t>
            </w:r>
          </w:p>
        </w:tc>
        <w:tc>
          <w:tcPr>
            <w:tcW w:w="4110" w:type="dxa"/>
            <w:vAlign w:val="center"/>
          </w:tcPr>
          <w:p>
            <w:pPr>
              <w:ind w:firstLine="432"/>
              <w:jc w:val="center"/>
              <w:rPr>
                <w:rFonts w:ascii="仿宋" w:hAnsi="仿宋" w:cs="仿宋"/>
                <w:spacing w:val="3"/>
                <w:sz w:val="21"/>
                <w:szCs w:val="21"/>
              </w:rPr>
            </w:pPr>
            <w:r>
              <w:rPr>
                <w:rFonts w:hint="eastAsia" w:ascii="仿宋" w:hAnsi="仿宋" w:cs="仿宋"/>
                <w:spacing w:val="3"/>
                <w:sz w:val="21"/>
                <w:szCs w:val="21"/>
              </w:rPr>
              <w:t>Lora/NB-IoT节点开发、通信应用开发</w:t>
            </w:r>
          </w:p>
        </w:tc>
        <w:tc>
          <w:tcPr>
            <w:tcW w:w="914"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（6</w:t>
            </w:r>
            <w:r>
              <w:rPr>
                <w:rFonts w:ascii="仿宋" w:hAnsi="仿宋" w:cs="仿宋"/>
                <w:spacing w:val="3"/>
                <w:sz w:val="21"/>
                <w:szCs w:val="21"/>
              </w:rPr>
              <w:t>%</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72" w:hRule="atLeast"/>
          <w:jc w:val="center"/>
        </w:trPr>
        <w:tc>
          <w:tcPr>
            <w:tcW w:w="1256" w:type="dxa"/>
            <w:vMerge w:val="continue"/>
            <w:vAlign w:val="center"/>
          </w:tcPr>
          <w:p>
            <w:pPr>
              <w:autoSpaceDE w:val="0"/>
              <w:autoSpaceDN w:val="0"/>
              <w:ind w:firstLine="0" w:firstLineChars="0"/>
              <w:jc w:val="center"/>
              <w:rPr>
                <w:rFonts w:ascii="仿宋" w:cs="仿宋"/>
                <w:spacing w:val="3"/>
                <w:sz w:val="21"/>
                <w:szCs w:val="21"/>
              </w:rPr>
            </w:pPr>
          </w:p>
        </w:tc>
        <w:tc>
          <w:tcPr>
            <w:tcW w:w="1985"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Android应用开发</w:t>
            </w:r>
          </w:p>
        </w:tc>
        <w:tc>
          <w:tcPr>
            <w:tcW w:w="4110" w:type="dxa"/>
            <w:vAlign w:val="center"/>
          </w:tcPr>
          <w:p>
            <w:pPr>
              <w:ind w:firstLine="432"/>
              <w:jc w:val="center"/>
              <w:rPr>
                <w:rFonts w:ascii="仿宋" w:hAnsi="仿宋" w:cs="仿宋"/>
                <w:spacing w:val="3"/>
                <w:sz w:val="21"/>
                <w:szCs w:val="21"/>
              </w:rPr>
            </w:pPr>
            <w:r>
              <w:rPr>
                <w:rFonts w:hint="eastAsia" w:ascii="仿宋" w:hAnsi="仿宋" w:cs="仿宋"/>
                <w:spacing w:val="3"/>
                <w:sz w:val="21"/>
                <w:szCs w:val="21"/>
              </w:rPr>
              <w:t>Android物联网应用开发</w:t>
            </w:r>
          </w:p>
        </w:tc>
        <w:tc>
          <w:tcPr>
            <w:tcW w:w="914"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w:t>
            </w:r>
            <w:r>
              <w:rPr>
                <w:rFonts w:ascii="仿宋" w:hAnsi="仿宋" w:cs="仿宋"/>
                <w:spacing w:val="3"/>
                <w:sz w:val="21"/>
                <w:szCs w:val="21"/>
              </w:rPr>
              <w:t>10%</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419" w:hRule="atLeast"/>
          <w:jc w:val="center"/>
        </w:trPr>
        <w:tc>
          <w:tcPr>
            <w:tcW w:w="1256" w:type="dxa"/>
            <w:vMerge w:val="restart"/>
            <w:vAlign w:val="center"/>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r>
              <w:rPr>
                <w:rFonts w:hint="eastAsia" w:ascii="仿宋" w:hAnsi="仿宋" w:cs="仿宋"/>
                <w:bCs/>
                <w:color w:val="000000" w:themeColor="text1"/>
                <w:kern w:val="0"/>
                <w:sz w:val="21"/>
                <w:szCs w:val="21"/>
                <w14:textFill>
                  <w14:solidFill>
                    <w14:schemeClr w14:val="tx1"/>
                  </w14:solidFill>
                </w14:textFill>
              </w:rPr>
              <w:t>六、职业素养（3%）</w:t>
            </w:r>
          </w:p>
        </w:tc>
        <w:tc>
          <w:tcPr>
            <w:tcW w:w="6095" w:type="dxa"/>
            <w:gridSpan w:val="2"/>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r>
              <w:rPr>
                <w:rFonts w:ascii="仿宋" w:hAnsi="仿宋" w:cs="仿宋"/>
                <w:bCs/>
                <w:color w:val="000000" w:themeColor="text1"/>
                <w:kern w:val="0"/>
                <w:sz w:val="21"/>
                <w:szCs w:val="21"/>
                <w14:textFill>
                  <w14:solidFill>
                    <w14:schemeClr w14:val="tx1"/>
                  </w14:solidFill>
                </w14:textFill>
              </w:rPr>
              <w:t>1、工位卫生整理情况（1分）</w:t>
            </w:r>
          </w:p>
        </w:tc>
        <w:tc>
          <w:tcPr>
            <w:tcW w:w="914" w:type="dxa"/>
            <w:vAlign w:val="center"/>
          </w:tcPr>
          <w:p>
            <w:pPr>
              <w:ind w:firstLine="0" w:firstLineChars="0"/>
              <w:jc w:val="center"/>
              <w:rPr>
                <w:rFonts w:ascii="仿宋" w:hAnsi="仿宋" w:cs="仿宋"/>
                <w:bCs/>
                <w:color w:val="000000" w:themeColor="text1"/>
                <w:kern w:val="0"/>
                <w:sz w:val="21"/>
                <w:szCs w:val="21"/>
                <w14:textFill>
                  <w14:solidFill>
                    <w14:schemeClr w14:val="tx1"/>
                  </w14:solidFill>
                </w14:textFill>
              </w:rPr>
            </w:pPr>
            <w:r>
              <w:rPr>
                <w:rFonts w:hint="eastAsia" w:ascii="仿宋" w:hAnsi="仿宋" w:cs="仿宋"/>
                <w:bCs/>
                <w:color w:val="000000" w:themeColor="text1"/>
                <w:kern w:val="0"/>
                <w:sz w:val="21"/>
                <w:szCs w:val="21"/>
                <w14:textFill>
                  <w14:solidFill>
                    <w14:schemeClr w14:val="tx1"/>
                  </w14:solidFill>
                </w14:textFill>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419" w:hRule="atLeast"/>
          <w:jc w:val="center"/>
        </w:trPr>
        <w:tc>
          <w:tcPr>
            <w:tcW w:w="1256" w:type="dxa"/>
            <w:vMerge w:val="continue"/>
            <w:vAlign w:val="center"/>
          </w:tcPr>
          <w:p>
            <w:pPr>
              <w:autoSpaceDE w:val="0"/>
              <w:autoSpaceDN w:val="0"/>
              <w:ind w:firstLine="422"/>
              <w:jc w:val="center"/>
              <w:rPr>
                <w:rFonts w:ascii="仿宋" w:hAnsi="仿宋" w:cs="仿宋"/>
                <w:b/>
                <w:color w:val="000000" w:themeColor="text1"/>
                <w:kern w:val="0"/>
                <w:sz w:val="21"/>
                <w:szCs w:val="21"/>
                <w14:textFill>
                  <w14:solidFill>
                    <w14:schemeClr w14:val="tx1"/>
                  </w14:solidFill>
                </w14:textFill>
              </w:rPr>
            </w:pPr>
          </w:p>
        </w:tc>
        <w:tc>
          <w:tcPr>
            <w:tcW w:w="6095" w:type="dxa"/>
            <w:gridSpan w:val="2"/>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r>
              <w:rPr>
                <w:rFonts w:ascii="仿宋" w:hAnsi="仿宋" w:cs="仿宋"/>
                <w:bCs/>
                <w:color w:val="000000" w:themeColor="text1"/>
                <w:kern w:val="0"/>
                <w:sz w:val="21"/>
                <w:szCs w:val="21"/>
                <w14:textFill>
                  <w14:solidFill>
                    <w14:schemeClr w14:val="tx1"/>
                  </w14:solidFill>
                </w14:textFill>
              </w:rPr>
              <w:t>2、耗材</w:t>
            </w:r>
            <w:r>
              <w:rPr>
                <w:rFonts w:hint="eastAsia" w:ascii="仿宋" w:hAnsi="仿宋" w:cs="仿宋"/>
                <w:bCs/>
                <w:color w:val="000000" w:themeColor="text1"/>
                <w:kern w:val="0"/>
                <w:sz w:val="21"/>
                <w:szCs w:val="21"/>
                <w14:textFill>
                  <w14:solidFill>
                    <w14:schemeClr w14:val="tx1"/>
                  </w14:solidFill>
                </w14:textFill>
              </w:rPr>
              <w:t>、</w:t>
            </w:r>
            <w:r>
              <w:rPr>
                <w:rFonts w:ascii="仿宋" w:hAnsi="仿宋" w:cs="仿宋"/>
                <w:bCs/>
                <w:color w:val="000000" w:themeColor="text1"/>
                <w:kern w:val="0"/>
                <w:sz w:val="21"/>
                <w:szCs w:val="21"/>
                <w14:textFill>
                  <w14:solidFill>
                    <w14:schemeClr w14:val="tx1"/>
                  </w14:solidFill>
                </w14:textFill>
              </w:rPr>
              <w:t>工具摆放情况（1分）</w:t>
            </w:r>
          </w:p>
        </w:tc>
        <w:tc>
          <w:tcPr>
            <w:tcW w:w="914" w:type="dxa"/>
            <w:vAlign w:val="center"/>
          </w:tcPr>
          <w:p>
            <w:pPr>
              <w:ind w:firstLine="0" w:firstLineChars="0"/>
              <w:jc w:val="center"/>
              <w:rPr>
                <w:rFonts w:ascii="仿宋" w:hAnsi="仿宋" w:cs="仿宋"/>
                <w:bCs/>
                <w:color w:val="000000" w:themeColor="text1"/>
                <w:kern w:val="0"/>
                <w:sz w:val="21"/>
                <w:szCs w:val="21"/>
                <w14:textFill>
                  <w14:solidFill>
                    <w14:schemeClr w14:val="tx1"/>
                  </w14:solidFill>
                </w14:textFill>
              </w:rPr>
            </w:pPr>
            <w:r>
              <w:rPr>
                <w:rFonts w:hint="eastAsia" w:ascii="仿宋" w:hAnsi="仿宋" w:cs="仿宋"/>
                <w:bCs/>
                <w:color w:val="000000" w:themeColor="text1"/>
                <w:kern w:val="0"/>
                <w:sz w:val="21"/>
                <w:szCs w:val="21"/>
                <w14:textFill>
                  <w14:solidFill>
                    <w14:schemeClr w14:val="tx1"/>
                  </w14:solidFill>
                </w14:textFill>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419" w:hRule="atLeast"/>
          <w:jc w:val="center"/>
        </w:trPr>
        <w:tc>
          <w:tcPr>
            <w:tcW w:w="1256" w:type="dxa"/>
            <w:vMerge w:val="continue"/>
            <w:vAlign w:val="center"/>
          </w:tcPr>
          <w:p>
            <w:pPr>
              <w:autoSpaceDE w:val="0"/>
              <w:autoSpaceDN w:val="0"/>
              <w:ind w:firstLine="422"/>
              <w:jc w:val="center"/>
              <w:rPr>
                <w:rFonts w:ascii="仿宋" w:hAnsi="仿宋" w:cs="仿宋"/>
                <w:b/>
                <w:color w:val="000000" w:themeColor="text1"/>
                <w:kern w:val="0"/>
                <w:sz w:val="21"/>
                <w:szCs w:val="21"/>
                <w14:textFill>
                  <w14:solidFill>
                    <w14:schemeClr w14:val="tx1"/>
                  </w14:solidFill>
                </w14:textFill>
              </w:rPr>
            </w:pPr>
          </w:p>
        </w:tc>
        <w:tc>
          <w:tcPr>
            <w:tcW w:w="6095" w:type="dxa"/>
            <w:gridSpan w:val="2"/>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r>
              <w:rPr>
                <w:rFonts w:ascii="仿宋" w:hAnsi="仿宋" w:cs="仿宋"/>
                <w:bCs/>
                <w:color w:val="000000" w:themeColor="text1"/>
                <w:kern w:val="0"/>
                <w:sz w:val="21"/>
                <w:szCs w:val="21"/>
                <w14:textFill>
                  <w14:solidFill>
                    <w14:schemeClr w14:val="tx1"/>
                  </w14:solidFill>
                </w14:textFill>
              </w:rPr>
              <w:t>3、接线整齐美观情况（1分）</w:t>
            </w:r>
          </w:p>
        </w:tc>
        <w:tc>
          <w:tcPr>
            <w:tcW w:w="914" w:type="dxa"/>
            <w:vAlign w:val="center"/>
          </w:tcPr>
          <w:p>
            <w:pPr>
              <w:ind w:firstLine="0" w:firstLineChars="0"/>
              <w:jc w:val="center"/>
              <w:rPr>
                <w:rFonts w:ascii="仿宋" w:hAnsi="仿宋" w:cs="仿宋"/>
                <w:bCs/>
                <w:color w:val="000000" w:themeColor="text1"/>
                <w:kern w:val="0"/>
                <w:sz w:val="21"/>
                <w:szCs w:val="21"/>
                <w14:textFill>
                  <w14:solidFill>
                    <w14:schemeClr w14:val="tx1"/>
                  </w14:solidFill>
                </w14:textFill>
              </w:rPr>
            </w:pPr>
            <w:r>
              <w:rPr>
                <w:rFonts w:hint="eastAsia" w:ascii="仿宋" w:hAnsi="仿宋" w:cs="仿宋"/>
                <w:bCs/>
                <w:color w:val="000000" w:themeColor="text1"/>
                <w:kern w:val="0"/>
                <w:sz w:val="21"/>
                <w:szCs w:val="21"/>
                <w14:textFill>
                  <w14:solidFill>
                    <w14:schemeClr w14:val="tx1"/>
                  </w14:solidFill>
                </w14:textFill>
              </w:rPr>
              <w:t>（1%）</w:t>
            </w:r>
          </w:p>
        </w:tc>
      </w:tr>
    </w:tbl>
    <w:p>
      <w:pPr>
        <w:autoSpaceDE w:val="0"/>
        <w:autoSpaceDN w:val="0"/>
        <w:spacing w:line="560" w:lineRule="exact"/>
        <w:ind w:firstLine="480"/>
        <w:rPr>
          <w:rFonts w:ascii="仿宋" w:hAnsi="仿宋" w:cs="仿宋"/>
          <w:b/>
          <w:color w:val="000000" w:themeColor="text1"/>
          <w:kern w:val="0"/>
          <w:szCs w:val="24"/>
          <w14:textFill>
            <w14:solidFill>
              <w14:schemeClr w14:val="tx1"/>
            </w14:solidFill>
          </w14:textFill>
        </w:rPr>
      </w:pPr>
      <w:r>
        <w:rPr>
          <w:rFonts w:hint="eastAsia" w:ascii="仿宋" w:hAnsi="仿宋" w:cs="仿宋"/>
          <w:color w:val="000000" w:themeColor="text1"/>
          <w:kern w:val="0"/>
          <w:szCs w:val="24"/>
          <w14:textFill>
            <w14:solidFill>
              <w14:schemeClr w14:val="tx1"/>
            </w14:solidFill>
          </w14:textFill>
        </w:rPr>
        <w:t>2、</w:t>
      </w:r>
      <w:r>
        <w:rPr>
          <w:rFonts w:hint="eastAsia" w:ascii="仿宋" w:hAnsi="仿宋" w:cs="仿宋"/>
          <w:b/>
          <w:color w:val="000000" w:themeColor="text1"/>
          <w:kern w:val="0"/>
          <w:szCs w:val="24"/>
          <w14:textFill>
            <w14:solidFill>
              <w14:schemeClr w14:val="tx1"/>
            </w14:solidFill>
          </w14:textFill>
        </w:rPr>
        <w:t>教师组：</w:t>
      </w:r>
      <w:r>
        <w:rPr>
          <w:rFonts w:ascii="仿宋" w:hAnsi="仿宋" w:cs="仿宋"/>
          <w:b/>
          <w:color w:val="000000" w:themeColor="text1"/>
          <w:kern w:val="0"/>
          <w:szCs w:val="24"/>
          <w14:textFill>
            <w14:solidFill>
              <w14:schemeClr w14:val="tx1"/>
            </w14:solidFill>
          </w14:textFill>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 w:type="dxa"/>
          <w:bottom w:w="0" w:type="dxa"/>
          <w:right w:w="10" w:type="dxa"/>
        </w:tblCellMar>
      </w:tblPr>
      <w:tblGrid>
        <w:gridCol w:w="1256"/>
        <w:gridCol w:w="1985"/>
        <w:gridCol w:w="4110"/>
        <w:gridCol w:w="91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488" w:hRule="exact"/>
          <w:jc w:val="center"/>
        </w:trPr>
        <w:tc>
          <w:tcPr>
            <w:tcW w:w="1256" w:type="dxa"/>
            <w:tcBorders>
              <w:top w:val="single" w:color="auto" w:sz="8" w:space="0"/>
              <w:bottom w:val="single" w:color="auto" w:sz="8" w:space="0"/>
            </w:tcBorders>
            <w:vAlign w:val="center"/>
          </w:tcPr>
          <w:p>
            <w:pPr>
              <w:autoSpaceDE w:val="0"/>
              <w:autoSpaceDN w:val="0"/>
              <w:ind w:firstLine="0" w:firstLineChars="0"/>
              <w:jc w:val="center"/>
              <w:rPr>
                <w:rFonts w:ascii="仿宋" w:hAnsi="仿宋" w:cs="仿宋"/>
                <w:b/>
                <w:bCs/>
                <w:color w:val="000000" w:themeColor="text1"/>
                <w:kern w:val="0"/>
                <w:sz w:val="21"/>
                <w:szCs w:val="21"/>
                <w14:textFill>
                  <w14:solidFill>
                    <w14:schemeClr w14:val="tx1"/>
                  </w14:solidFill>
                </w14:textFill>
              </w:rPr>
            </w:pPr>
            <w:r>
              <w:rPr>
                <w:rFonts w:hint="eastAsia" w:ascii="仿宋" w:hAnsi="仿宋" w:cs="仿宋"/>
                <w:b/>
                <w:bCs/>
                <w:color w:val="000000" w:themeColor="text1"/>
                <w:kern w:val="0"/>
                <w:sz w:val="21"/>
                <w:szCs w:val="21"/>
                <w14:textFill>
                  <w14:solidFill>
                    <w14:schemeClr w14:val="tx1"/>
                  </w14:solidFill>
                </w14:textFill>
              </w:rPr>
              <w:t>任务</w:t>
            </w:r>
          </w:p>
        </w:tc>
        <w:tc>
          <w:tcPr>
            <w:tcW w:w="1985" w:type="dxa"/>
            <w:tcBorders>
              <w:top w:val="single" w:color="auto" w:sz="8" w:space="0"/>
              <w:bottom w:val="single" w:color="auto" w:sz="8" w:space="0"/>
            </w:tcBorders>
            <w:vAlign w:val="center"/>
          </w:tcPr>
          <w:p>
            <w:pPr>
              <w:autoSpaceDE w:val="0"/>
              <w:autoSpaceDN w:val="0"/>
              <w:ind w:firstLine="0" w:firstLineChars="0"/>
              <w:jc w:val="center"/>
              <w:rPr>
                <w:rFonts w:ascii="仿宋" w:hAnsi="仿宋" w:cs="仿宋"/>
                <w:b/>
                <w:bCs/>
                <w:color w:val="000000" w:themeColor="text1"/>
                <w:kern w:val="0"/>
                <w:sz w:val="21"/>
                <w:szCs w:val="21"/>
                <w14:textFill>
                  <w14:solidFill>
                    <w14:schemeClr w14:val="tx1"/>
                  </w14:solidFill>
                </w14:textFill>
              </w:rPr>
            </w:pPr>
            <w:r>
              <w:rPr>
                <w:rFonts w:hint="eastAsia" w:ascii="仿宋" w:hAnsi="仿宋" w:cs="仿宋"/>
                <w:b/>
                <w:bCs/>
                <w:color w:val="000000" w:themeColor="text1"/>
                <w:kern w:val="0"/>
                <w:sz w:val="21"/>
                <w:szCs w:val="21"/>
                <w14:textFill>
                  <w14:solidFill>
                    <w14:schemeClr w14:val="tx1"/>
                  </w14:solidFill>
                </w14:textFill>
              </w:rPr>
              <w:t>任务组成</w:t>
            </w:r>
          </w:p>
        </w:tc>
        <w:tc>
          <w:tcPr>
            <w:tcW w:w="4110" w:type="dxa"/>
            <w:tcBorders>
              <w:top w:val="single" w:color="auto" w:sz="8" w:space="0"/>
              <w:bottom w:val="single" w:color="auto" w:sz="8" w:space="0"/>
            </w:tcBorders>
            <w:vAlign w:val="center"/>
          </w:tcPr>
          <w:p>
            <w:pPr>
              <w:autoSpaceDE w:val="0"/>
              <w:autoSpaceDN w:val="0"/>
              <w:ind w:firstLine="422"/>
              <w:rPr>
                <w:rFonts w:ascii="仿宋" w:hAnsi="仿宋" w:cs="仿宋"/>
                <w:b/>
                <w:bCs/>
                <w:color w:val="000000" w:themeColor="text1"/>
                <w:kern w:val="0"/>
                <w:sz w:val="21"/>
                <w:szCs w:val="21"/>
                <w14:textFill>
                  <w14:solidFill>
                    <w14:schemeClr w14:val="tx1"/>
                  </w14:solidFill>
                </w14:textFill>
              </w:rPr>
            </w:pPr>
            <w:r>
              <w:rPr>
                <w:rFonts w:hint="eastAsia" w:ascii="仿宋" w:hAnsi="仿宋" w:cs="仿宋"/>
                <w:b/>
                <w:bCs/>
                <w:color w:val="000000" w:themeColor="text1"/>
                <w:kern w:val="0"/>
                <w:sz w:val="21"/>
                <w:szCs w:val="21"/>
                <w14:textFill>
                  <w14:solidFill>
                    <w14:schemeClr w14:val="tx1"/>
                  </w14:solidFill>
                </w14:textFill>
              </w:rPr>
              <w:t>技能点、知识点或难易度</w:t>
            </w:r>
          </w:p>
        </w:tc>
        <w:tc>
          <w:tcPr>
            <w:tcW w:w="914" w:type="dxa"/>
            <w:tcBorders>
              <w:top w:val="single" w:color="auto" w:sz="8" w:space="0"/>
              <w:bottom w:val="single" w:color="auto" w:sz="8" w:space="0"/>
            </w:tcBorders>
            <w:vAlign w:val="center"/>
          </w:tcPr>
          <w:p>
            <w:pPr>
              <w:autoSpaceDE w:val="0"/>
              <w:autoSpaceDN w:val="0"/>
              <w:ind w:firstLine="0" w:firstLineChars="0"/>
              <w:jc w:val="center"/>
              <w:rPr>
                <w:rFonts w:ascii="仿宋" w:hAnsi="仿宋" w:cs="仿宋"/>
                <w:b/>
                <w:bCs/>
                <w:color w:val="000000" w:themeColor="text1"/>
                <w:kern w:val="0"/>
                <w:sz w:val="21"/>
                <w:szCs w:val="21"/>
                <w14:textFill>
                  <w14:solidFill>
                    <w14:schemeClr w14:val="tx1"/>
                  </w14:solidFill>
                </w14:textFill>
              </w:rPr>
            </w:pPr>
            <w:r>
              <w:rPr>
                <w:rFonts w:hint="eastAsia" w:ascii="仿宋" w:hAnsi="仿宋" w:cs="仿宋"/>
                <w:b/>
                <w:bCs/>
                <w:color w:val="000000" w:themeColor="text1"/>
                <w:kern w:val="0"/>
                <w:sz w:val="21"/>
                <w:szCs w:val="21"/>
                <w14:textFill>
                  <w14:solidFill>
                    <w14:schemeClr w14:val="tx1"/>
                  </w14:solidFill>
                </w14:textFill>
              </w:rPr>
              <w:t>比例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101" w:hRule="atLeast"/>
          <w:jc w:val="center"/>
        </w:trPr>
        <w:tc>
          <w:tcPr>
            <w:tcW w:w="1256" w:type="dxa"/>
            <w:vMerge w:val="restart"/>
            <w:tcBorders>
              <w:top w:val="single" w:color="auto" w:sz="8" w:space="0"/>
            </w:tcBorders>
            <w:vAlign w:val="center"/>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r>
              <w:rPr>
                <w:rFonts w:hint="eastAsia" w:ascii="仿宋" w:hAnsi="仿宋" w:cs="仿宋"/>
                <w:spacing w:val="3"/>
                <w:sz w:val="21"/>
                <w:szCs w:val="21"/>
              </w:rPr>
              <w:t>一、物联网设备安装与调试（2</w:t>
            </w:r>
            <w:r>
              <w:rPr>
                <w:rFonts w:ascii="仿宋" w:hAnsi="仿宋" w:cs="仿宋"/>
                <w:spacing w:val="3"/>
                <w:sz w:val="21"/>
                <w:szCs w:val="21"/>
              </w:rPr>
              <w:t>2</w:t>
            </w:r>
            <w:r>
              <w:rPr>
                <w:rFonts w:hint="eastAsia" w:ascii="仿宋" w:hAnsi="仿宋" w:cs="仿宋"/>
                <w:spacing w:val="3"/>
                <w:sz w:val="21"/>
                <w:szCs w:val="21"/>
              </w:rPr>
              <w:t>%）</w:t>
            </w:r>
          </w:p>
        </w:tc>
        <w:tc>
          <w:tcPr>
            <w:tcW w:w="1985" w:type="dxa"/>
            <w:vMerge w:val="restart"/>
            <w:tcBorders>
              <w:top w:val="single" w:color="auto" w:sz="8" w:space="0"/>
            </w:tcBorders>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设备安装和连线（1</w:t>
            </w:r>
            <w:r>
              <w:rPr>
                <w:rFonts w:ascii="仿宋" w:hAnsi="仿宋" w:cs="仿宋"/>
                <w:spacing w:val="3"/>
                <w:sz w:val="21"/>
                <w:szCs w:val="21"/>
              </w:rPr>
              <w:t>5</w:t>
            </w:r>
            <w:r>
              <w:rPr>
                <w:rFonts w:hint="eastAsia" w:ascii="仿宋" w:hAnsi="仿宋" w:cs="仿宋"/>
                <w:spacing w:val="3"/>
                <w:sz w:val="21"/>
                <w:szCs w:val="21"/>
              </w:rPr>
              <w:t>%）</w:t>
            </w:r>
          </w:p>
        </w:tc>
        <w:tc>
          <w:tcPr>
            <w:tcW w:w="4110" w:type="dxa"/>
            <w:tcBorders>
              <w:top w:val="single" w:color="auto" w:sz="8" w:space="0"/>
            </w:tcBorders>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设备选型和安装、设备的连线</w:t>
            </w:r>
          </w:p>
        </w:tc>
        <w:tc>
          <w:tcPr>
            <w:tcW w:w="914" w:type="dxa"/>
            <w:tcBorders>
              <w:top w:val="single" w:color="auto" w:sz="8" w:space="0"/>
            </w:tcBorders>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w:t>
            </w:r>
            <w:r>
              <w:rPr>
                <w:rFonts w:ascii="仿宋" w:hAnsi="仿宋" w:cs="仿宋"/>
                <w:spacing w:val="3"/>
                <w:sz w:val="21"/>
                <w:szCs w:val="21"/>
              </w:rPr>
              <w:t>12</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319" w:hRule="atLeast"/>
          <w:jc w:val="center"/>
        </w:trPr>
        <w:tc>
          <w:tcPr>
            <w:tcW w:w="1256" w:type="dxa"/>
            <w:vMerge w:val="continue"/>
            <w:vAlign w:val="center"/>
          </w:tcPr>
          <w:p>
            <w:pPr>
              <w:autoSpaceDE w:val="0"/>
              <w:autoSpaceDN w:val="0"/>
              <w:ind w:firstLine="420"/>
              <w:jc w:val="center"/>
              <w:rPr>
                <w:rFonts w:ascii="仿宋" w:hAnsi="仿宋" w:cs="仿宋"/>
                <w:bCs/>
                <w:color w:val="000000" w:themeColor="text1"/>
                <w:kern w:val="0"/>
                <w:sz w:val="21"/>
                <w:szCs w:val="21"/>
                <w14:textFill>
                  <w14:solidFill>
                    <w14:schemeClr w14:val="tx1"/>
                  </w14:solidFill>
                </w14:textFill>
              </w:rPr>
            </w:pPr>
          </w:p>
        </w:tc>
        <w:tc>
          <w:tcPr>
            <w:tcW w:w="1985" w:type="dxa"/>
            <w:vMerge w:val="continue"/>
            <w:vAlign w:val="center"/>
          </w:tcPr>
          <w:p>
            <w:pPr>
              <w:autoSpaceDE w:val="0"/>
              <w:autoSpaceDN w:val="0"/>
              <w:ind w:firstLine="432"/>
              <w:jc w:val="center"/>
              <w:rPr>
                <w:rFonts w:ascii="仿宋" w:hAnsi="仿宋" w:cs="仿宋"/>
                <w:spacing w:val="3"/>
                <w:sz w:val="21"/>
                <w:szCs w:val="21"/>
              </w:rPr>
            </w:pPr>
          </w:p>
        </w:tc>
        <w:tc>
          <w:tcPr>
            <w:tcW w:w="4110"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线槽的安装</w:t>
            </w:r>
          </w:p>
        </w:tc>
        <w:tc>
          <w:tcPr>
            <w:tcW w:w="914"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210" w:hRule="atLeast"/>
          <w:jc w:val="center"/>
        </w:trPr>
        <w:tc>
          <w:tcPr>
            <w:tcW w:w="1256" w:type="dxa"/>
            <w:vMerge w:val="continue"/>
            <w:vAlign w:val="center"/>
          </w:tcPr>
          <w:p>
            <w:pPr>
              <w:autoSpaceDE w:val="0"/>
              <w:autoSpaceDN w:val="0"/>
              <w:ind w:firstLine="420"/>
              <w:jc w:val="center"/>
              <w:rPr>
                <w:rFonts w:ascii="仿宋" w:hAnsi="仿宋" w:cs="仿宋"/>
                <w:bCs/>
                <w:color w:val="000000" w:themeColor="text1"/>
                <w:kern w:val="0"/>
                <w:sz w:val="21"/>
                <w:szCs w:val="21"/>
                <w14:textFill>
                  <w14:solidFill>
                    <w14:schemeClr w14:val="tx1"/>
                  </w14:solidFill>
                </w14:textFill>
              </w:rPr>
            </w:pPr>
          </w:p>
        </w:tc>
        <w:tc>
          <w:tcPr>
            <w:tcW w:w="1985" w:type="dxa"/>
            <w:vMerge w:val="continue"/>
            <w:vAlign w:val="center"/>
          </w:tcPr>
          <w:p>
            <w:pPr>
              <w:autoSpaceDE w:val="0"/>
              <w:autoSpaceDN w:val="0"/>
              <w:ind w:firstLine="432"/>
              <w:jc w:val="center"/>
              <w:rPr>
                <w:rFonts w:ascii="仿宋" w:hAnsi="仿宋" w:cs="仿宋"/>
                <w:spacing w:val="3"/>
                <w:sz w:val="21"/>
                <w:szCs w:val="21"/>
              </w:rPr>
            </w:pPr>
          </w:p>
        </w:tc>
        <w:tc>
          <w:tcPr>
            <w:tcW w:w="4110"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网线的制作</w:t>
            </w:r>
          </w:p>
        </w:tc>
        <w:tc>
          <w:tcPr>
            <w:tcW w:w="914"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403" w:hRule="atLeast"/>
          <w:jc w:val="center"/>
        </w:trPr>
        <w:tc>
          <w:tcPr>
            <w:tcW w:w="1256" w:type="dxa"/>
            <w:vMerge w:val="continue"/>
            <w:vAlign w:val="center"/>
          </w:tcPr>
          <w:p>
            <w:pPr>
              <w:autoSpaceDE w:val="0"/>
              <w:autoSpaceDN w:val="0"/>
              <w:ind w:firstLine="420"/>
              <w:jc w:val="center"/>
              <w:rPr>
                <w:rFonts w:ascii="仿宋" w:hAnsi="仿宋" w:cs="仿宋"/>
                <w:bCs/>
                <w:color w:val="000000" w:themeColor="text1"/>
                <w:kern w:val="0"/>
                <w:sz w:val="21"/>
                <w:szCs w:val="21"/>
                <w14:textFill>
                  <w14:solidFill>
                    <w14:schemeClr w14:val="tx1"/>
                  </w14:solidFill>
                </w14:textFill>
              </w:rPr>
            </w:pPr>
          </w:p>
        </w:tc>
        <w:tc>
          <w:tcPr>
            <w:tcW w:w="1985" w:type="dxa"/>
            <w:vMerge w:val="restart"/>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设备配置和使用（7%）</w:t>
            </w:r>
          </w:p>
        </w:tc>
        <w:tc>
          <w:tcPr>
            <w:tcW w:w="4110"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条码打印机、LED屏、UHP读写器的使用</w:t>
            </w:r>
          </w:p>
        </w:tc>
        <w:tc>
          <w:tcPr>
            <w:tcW w:w="914"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319" w:hRule="atLeast"/>
          <w:jc w:val="center"/>
        </w:trPr>
        <w:tc>
          <w:tcPr>
            <w:tcW w:w="1256" w:type="dxa"/>
            <w:vMerge w:val="continue"/>
            <w:vAlign w:val="center"/>
          </w:tcPr>
          <w:p>
            <w:pPr>
              <w:autoSpaceDE w:val="0"/>
              <w:autoSpaceDN w:val="0"/>
              <w:ind w:firstLine="420"/>
              <w:jc w:val="center"/>
              <w:rPr>
                <w:rFonts w:ascii="仿宋" w:hAnsi="仿宋" w:cs="仿宋"/>
                <w:bCs/>
                <w:color w:val="000000" w:themeColor="text1"/>
                <w:kern w:val="0"/>
                <w:sz w:val="21"/>
                <w:szCs w:val="21"/>
                <w14:textFill>
                  <w14:solidFill>
                    <w14:schemeClr w14:val="tx1"/>
                  </w14:solidFill>
                </w14:textFill>
              </w:rPr>
            </w:pPr>
          </w:p>
        </w:tc>
        <w:tc>
          <w:tcPr>
            <w:tcW w:w="1985" w:type="dxa"/>
            <w:vMerge w:val="continue"/>
            <w:vAlign w:val="center"/>
          </w:tcPr>
          <w:p>
            <w:pPr>
              <w:autoSpaceDE w:val="0"/>
              <w:autoSpaceDN w:val="0"/>
              <w:ind w:firstLine="432"/>
              <w:jc w:val="center"/>
              <w:rPr>
                <w:rFonts w:ascii="仿宋" w:hAnsi="仿宋" w:cs="仿宋"/>
                <w:spacing w:val="3"/>
                <w:sz w:val="21"/>
                <w:szCs w:val="21"/>
              </w:rPr>
            </w:pPr>
          </w:p>
        </w:tc>
        <w:tc>
          <w:tcPr>
            <w:tcW w:w="4110"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Zigbee、Lora、NS烧写配置</w:t>
            </w:r>
          </w:p>
        </w:tc>
        <w:tc>
          <w:tcPr>
            <w:tcW w:w="914"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139" w:hRule="atLeast"/>
          <w:jc w:val="center"/>
        </w:trPr>
        <w:tc>
          <w:tcPr>
            <w:tcW w:w="1256" w:type="dxa"/>
            <w:vMerge w:val="restart"/>
            <w:vAlign w:val="center"/>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r>
              <w:rPr>
                <w:rFonts w:hint="eastAsia" w:ascii="仿宋" w:hAnsi="仿宋" w:cs="仿宋"/>
                <w:bCs/>
                <w:color w:val="000000" w:themeColor="text1"/>
                <w:kern w:val="0"/>
                <w:sz w:val="21"/>
                <w:szCs w:val="21"/>
                <w14:textFill>
                  <w14:solidFill>
                    <w14:schemeClr w14:val="tx1"/>
                  </w14:solidFill>
                </w14:textFill>
              </w:rPr>
              <w:t>二、</w:t>
            </w:r>
            <w:r>
              <w:rPr>
                <w:rFonts w:hint="eastAsia" w:ascii="仿宋" w:cs="仿宋"/>
                <w:spacing w:val="3"/>
                <w:sz w:val="21"/>
                <w:szCs w:val="21"/>
              </w:rPr>
              <w:t>物联网网络搭建与配置</w:t>
            </w:r>
            <w:r>
              <w:rPr>
                <w:rFonts w:hint="eastAsia" w:ascii="仿宋" w:hAnsi="仿宋" w:cs="仿宋"/>
                <w:bCs/>
                <w:color w:val="000000" w:themeColor="text1"/>
                <w:kern w:val="0"/>
                <w:sz w:val="21"/>
                <w:szCs w:val="21"/>
                <w14:textFill>
                  <w14:solidFill>
                    <w14:schemeClr w14:val="tx1"/>
                  </w14:solidFill>
                </w14:textFill>
              </w:rPr>
              <w:t>（1</w:t>
            </w:r>
            <w:r>
              <w:rPr>
                <w:rFonts w:ascii="仿宋" w:hAnsi="仿宋" w:cs="仿宋"/>
                <w:bCs/>
                <w:color w:val="000000" w:themeColor="text1"/>
                <w:kern w:val="0"/>
                <w:sz w:val="21"/>
                <w:szCs w:val="21"/>
                <w14:textFill>
                  <w14:solidFill>
                    <w14:schemeClr w14:val="tx1"/>
                  </w14:solidFill>
                </w14:textFill>
              </w:rPr>
              <w:t>5</w:t>
            </w:r>
            <w:r>
              <w:rPr>
                <w:rFonts w:hint="eastAsia" w:ascii="仿宋" w:hAnsi="仿宋" w:cs="仿宋"/>
                <w:bCs/>
                <w:color w:val="000000" w:themeColor="text1"/>
                <w:kern w:val="0"/>
                <w:sz w:val="21"/>
                <w:szCs w:val="21"/>
                <w14:textFill>
                  <w14:solidFill>
                    <w14:schemeClr w14:val="tx1"/>
                  </w14:solidFill>
                </w14:textFill>
              </w:rPr>
              <w:t>%）</w:t>
            </w:r>
          </w:p>
        </w:tc>
        <w:tc>
          <w:tcPr>
            <w:tcW w:w="1985"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网络设备配置</w:t>
            </w:r>
          </w:p>
        </w:tc>
        <w:tc>
          <w:tcPr>
            <w:tcW w:w="4110"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 xml:space="preserve">路由器配置 </w:t>
            </w:r>
          </w:p>
        </w:tc>
        <w:tc>
          <w:tcPr>
            <w:tcW w:w="914"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（3</w:t>
            </w:r>
            <w:r>
              <w:rPr>
                <w:rFonts w:ascii="仿宋" w:hAnsi="仿宋" w:cs="仿宋"/>
                <w:spacing w:val="3"/>
                <w:sz w:val="21"/>
                <w:szCs w:val="21"/>
              </w:rPr>
              <w:t>%</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40" w:hRule="atLeast"/>
          <w:jc w:val="center"/>
        </w:trPr>
        <w:tc>
          <w:tcPr>
            <w:tcW w:w="1256" w:type="dxa"/>
            <w:vMerge w:val="continue"/>
            <w:vAlign w:val="center"/>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p>
        </w:tc>
        <w:tc>
          <w:tcPr>
            <w:tcW w:w="1985" w:type="dxa"/>
            <w:vMerge w:val="restart"/>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局域网各设备配置</w:t>
            </w:r>
          </w:p>
        </w:tc>
        <w:tc>
          <w:tcPr>
            <w:tcW w:w="4110"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物联网网关、串口服务、计算机服务器器、网络摄像头等设备IP配置</w:t>
            </w:r>
          </w:p>
        </w:tc>
        <w:tc>
          <w:tcPr>
            <w:tcW w:w="914"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（2</w:t>
            </w:r>
            <w:r>
              <w:rPr>
                <w:rFonts w:ascii="仿宋" w:hAnsi="仿宋" w:cs="仿宋"/>
                <w:spacing w:val="3"/>
                <w:sz w:val="21"/>
                <w:szCs w:val="21"/>
              </w:rPr>
              <w:t>%</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40" w:hRule="atLeast"/>
          <w:jc w:val="center"/>
        </w:trPr>
        <w:tc>
          <w:tcPr>
            <w:tcW w:w="1256" w:type="dxa"/>
            <w:vMerge w:val="continue"/>
            <w:vAlign w:val="center"/>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p>
        </w:tc>
        <w:tc>
          <w:tcPr>
            <w:tcW w:w="1985" w:type="dxa"/>
            <w:vMerge w:val="continue"/>
            <w:vAlign w:val="center"/>
          </w:tcPr>
          <w:p>
            <w:pPr>
              <w:autoSpaceDE w:val="0"/>
              <w:autoSpaceDN w:val="0"/>
              <w:ind w:firstLine="0" w:firstLineChars="0"/>
              <w:jc w:val="center"/>
              <w:rPr>
                <w:rFonts w:ascii="仿宋" w:hAnsi="仿宋" w:cs="仿宋"/>
                <w:spacing w:val="3"/>
                <w:sz w:val="21"/>
                <w:szCs w:val="21"/>
              </w:rPr>
            </w:pPr>
          </w:p>
        </w:tc>
        <w:tc>
          <w:tcPr>
            <w:tcW w:w="4110"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物联网网关配置、串口服务器配置</w:t>
            </w:r>
          </w:p>
        </w:tc>
        <w:tc>
          <w:tcPr>
            <w:tcW w:w="914"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w:t>
            </w:r>
            <w:r>
              <w:rPr>
                <w:rFonts w:ascii="仿宋" w:hAnsi="仿宋" w:cs="仿宋"/>
                <w:spacing w:val="3"/>
                <w:sz w:val="21"/>
                <w:szCs w:val="21"/>
              </w:rPr>
              <w:t>2%</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40" w:hRule="atLeast"/>
          <w:jc w:val="center"/>
        </w:trPr>
        <w:tc>
          <w:tcPr>
            <w:tcW w:w="1256" w:type="dxa"/>
            <w:vMerge w:val="continue"/>
            <w:vAlign w:val="center"/>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p>
        </w:tc>
        <w:tc>
          <w:tcPr>
            <w:tcW w:w="1985" w:type="dxa"/>
            <w:vMerge w:val="continue"/>
            <w:vAlign w:val="center"/>
          </w:tcPr>
          <w:p>
            <w:pPr>
              <w:autoSpaceDE w:val="0"/>
              <w:autoSpaceDN w:val="0"/>
              <w:ind w:firstLine="0" w:firstLineChars="0"/>
              <w:jc w:val="center"/>
              <w:rPr>
                <w:rFonts w:ascii="仿宋" w:hAnsi="仿宋" w:cs="仿宋"/>
                <w:spacing w:val="3"/>
                <w:sz w:val="21"/>
                <w:szCs w:val="21"/>
              </w:rPr>
            </w:pPr>
          </w:p>
        </w:tc>
        <w:tc>
          <w:tcPr>
            <w:tcW w:w="4110"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ADAM</w:t>
            </w:r>
            <w:r>
              <w:rPr>
                <w:rFonts w:ascii="仿宋" w:hAnsi="仿宋" w:cs="仿宋"/>
                <w:spacing w:val="3"/>
                <w:sz w:val="21"/>
                <w:szCs w:val="21"/>
              </w:rPr>
              <w:t>4150</w:t>
            </w:r>
            <w:r>
              <w:rPr>
                <w:rFonts w:hint="eastAsia" w:ascii="仿宋" w:hAnsi="仿宋" w:cs="仿宋"/>
                <w:spacing w:val="3"/>
                <w:sz w:val="21"/>
                <w:szCs w:val="21"/>
              </w:rPr>
              <w:t>、ADAM</w:t>
            </w:r>
            <w:r>
              <w:rPr>
                <w:rFonts w:ascii="仿宋" w:hAnsi="仿宋" w:cs="仿宋"/>
                <w:spacing w:val="3"/>
                <w:sz w:val="21"/>
                <w:szCs w:val="21"/>
              </w:rPr>
              <w:t>4017</w:t>
            </w:r>
            <w:r>
              <w:rPr>
                <w:rFonts w:hint="eastAsia" w:ascii="仿宋" w:hAnsi="仿宋" w:cs="仿宋"/>
                <w:spacing w:val="3"/>
                <w:sz w:val="21"/>
                <w:szCs w:val="21"/>
              </w:rPr>
              <w:t>、LED显示屏、Zigbee协调器、RGB灯带等配置</w:t>
            </w:r>
          </w:p>
        </w:tc>
        <w:tc>
          <w:tcPr>
            <w:tcW w:w="914"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（2</w:t>
            </w:r>
            <w:r>
              <w:rPr>
                <w:rFonts w:ascii="仿宋" w:hAnsi="仿宋" w:cs="仿宋"/>
                <w:spacing w:val="3"/>
                <w:sz w:val="21"/>
                <w:szCs w:val="21"/>
              </w:rPr>
              <w:t>%</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40" w:hRule="atLeast"/>
          <w:jc w:val="center"/>
        </w:trPr>
        <w:tc>
          <w:tcPr>
            <w:tcW w:w="1256" w:type="dxa"/>
            <w:vMerge w:val="continue"/>
            <w:vAlign w:val="center"/>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p>
        </w:tc>
        <w:tc>
          <w:tcPr>
            <w:tcW w:w="1985" w:type="dxa"/>
            <w:vMerge w:val="restart"/>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物联网系统设计</w:t>
            </w:r>
          </w:p>
        </w:tc>
        <w:tc>
          <w:tcPr>
            <w:tcW w:w="4110"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系统拓扑、局域网网络设计</w:t>
            </w:r>
          </w:p>
        </w:tc>
        <w:tc>
          <w:tcPr>
            <w:tcW w:w="914"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w:t>
            </w:r>
            <w:r>
              <w:rPr>
                <w:rFonts w:ascii="仿宋" w:hAnsi="仿宋" w:cs="仿宋"/>
                <w:spacing w:val="3"/>
                <w:sz w:val="21"/>
                <w:szCs w:val="21"/>
              </w:rPr>
              <w:t>3%</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40" w:hRule="atLeast"/>
          <w:jc w:val="center"/>
        </w:trPr>
        <w:tc>
          <w:tcPr>
            <w:tcW w:w="1256" w:type="dxa"/>
            <w:vMerge w:val="continue"/>
            <w:vAlign w:val="center"/>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p>
        </w:tc>
        <w:tc>
          <w:tcPr>
            <w:tcW w:w="1985" w:type="dxa"/>
            <w:vMerge w:val="continue"/>
            <w:vAlign w:val="center"/>
          </w:tcPr>
          <w:p>
            <w:pPr>
              <w:autoSpaceDE w:val="0"/>
              <w:autoSpaceDN w:val="0"/>
              <w:ind w:firstLine="0" w:firstLineChars="0"/>
              <w:jc w:val="center"/>
              <w:rPr>
                <w:rFonts w:ascii="仿宋" w:hAnsi="仿宋" w:cs="仿宋"/>
                <w:spacing w:val="3"/>
                <w:sz w:val="21"/>
                <w:szCs w:val="21"/>
              </w:rPr>
            </w:pPr>
          </w:p>
        </w:tc>
        <w:tc>
          <w:tcPr>
            <w:tcW w:w="4110"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物联网关键知识应用</w:t>
            </w:r>
          </w:p>
        </w:tc>
        <w:tc>
          <w:tcPr>
            <w:tcW w:w="914"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w:t>
            </w:r>
            <w:r>
              <w:rPr>
                <w:rFonts w:ascii="仿宋" w:hAnsi="仿宋" w:cs="仿宋"/>
                <w:spacing w:val="3"/>
                <w:sz w:val="21"/>
                <w:szCs w:val="21"/>
              </w:rPr>
              <w:t>3%</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187" w:hRule="atLeast"/>
          <w:jc w:val="center"/>
        </w:trPr>
        <w:tc>
          <w:tcPr>
            <w:tcW w:w="1256" w:type="dxa"/>
            <w:vMerge w:val="restart"/>
            <w:vAlign w:val="center"/>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r>
              <w:rPr>
                <w:rFonts w:hint="eastAsia" w:ascii="仿宋" w:hAnsi="仿宋" w:cs="仿宋"/>
                <w:bCs/>
                <w:color w:val="000000" w:themeColor="text1"/>
                <w:kern w:val="0"/>
                <w:sz w:val="21"/>
                <w:szCs w:val="21"/>
                <w14:textFill>
                  <w14:solidFill>
                    <w14:schemeClr w14:val="tx1"/>
                  </w14:solidFill>
                </w14:textFill>
              </w:rPr>
              <w:t>三、物联网软件部署与系统集成（1</w:t>
            </w:r>
            <w:r>
              <w:rPr>
                <w:rFonts w:ascii="仿宋" w:hAnsi="仿宋" w:cs="仿宋"/>
                <w:bCs/>
                <w:color w:val="000000" w:themeColor="text1"/>
                <w:kern w:val="0"/>
                <w:sz w:val="21"/>
                <w:szCs w:val="21"/>
                <w14:textFill>
                  <w14:solidFill>
                    <w14:schemeClr w14:val="tx1"/>
                  </w14:solidFill>
                </w14:textFill>
              </w:rPr>
              <w:t>5</w:t>
            </w:r>
            <w:r>
              <w:rPr>
                <w:rFonts w:hint="eastAsia" w:ascii="仿宋" w:hAnsi="仿宋" w:cs="仿宋"/>
                <w:bCs/>
                <w:color w:val="000000" w:themeColor="text1"/>
                <w:kern w:val="0"/>
                <w:sz w:val="21"/>
                <w:szCs w:val="21"/>
                <w14:textFill>
                  <w14:solidFill>
                    <w14:schemeClr w14:val="tx1"/>
                  </w14:solidFill>
                </w14:textFill>
              </w:rPr>
              <w:t>%）</w:t>
            </w:r>
          </w:p>
        </w:tc>
        <w:tc>
          <w:tcPr>
            <w:tcW w:w="1985"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物联网应用系统部署和使用</w:t>
            </w:r>
          </w:p>
        </w:tc>
        <w:tc>
          <w:tcPr>
            <w:tcW w:w="4110"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物联网应用系统部署和使用</w:t>
            </w:r>
          </w:p>
        </w:tc>
        <w:tc>
          <w:tcPr>
            <w:tcW w:w="914"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w:t>
            </w:r>
            <w:r>
              <w:rPr>
                <w:rFonts w:ascii="仿宋" w:hAnsi="仿宋" w:cs="仿宋"/>
                <w:spacing w:val="3"/>
                <w:sz w:val="21"/>
                <w:szCs w:val="21"/>
              </w:rPr>
              <w:t>3%</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46" w:hRule="atLeast"/>
          <w:jc w:val="center"/>
        </w:trPr>
        <w:tc>
          <w:tcPr>
            <w:tcW w:w="1256" w:type="dxa"/>
            <w:vMerge w:val="continue"/>
            <w:vAlign w:val="center"/>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p>
        </w:tc>
        <w:tc>
          <w:tcPr>
            <w:tcW w:w="1985" w:type="dxa"/>
            <w:vMerge w:val="restart"/>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物联网云平台配置和系统设计</w:t>
            </w:r>
          </w:p>
        </w:tc>
        <w:tc>
          <w:tcPr>
            <w:tcW w:w="4110"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物联网云平台配置、项目添加、传感器执行器添加、控制策略设计等</w:t>
            </w:r>
          </w:p>
        </w:tc>
        <w:tc>
          <w:tcPr>
            <w:tcW w:w="914"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w:t>
            </w:r>
            <w:r>
              <w:rPr>
                <w:rFonts w:ascii="仿宋" w:hAnsi="仿宋" w:cs="仿宋"/>
                <w:spacing w:val="3"/>
                <w:sz w:val="21"/>
                <w:szCs w:val="21"/>
              </w:rPr>
              <w:t>4%</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46" w:hRule="atLeast"/>
          <w:jc w:val="center"/>
        </w:trPr>
        <w:tc>
          <w:tcPr>
            <w:tcW w:w="1256" w:type="dxa"/>
            <w:vMerge w:val="continue"/>
            <w:vAlign w:val="center"/>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p>
        </w:tc>
        <w:tc>
          <w:tcPr>
            <w:tcW w:w="1985" w:type="dxa"/>
            <w:vMerge w:val="continue"/>
            <w:vAlign w:val="center"/>
          </w:tcPr>
          <w:p>
            <w:pPr>
              <w:ind w:firstLine="0" w:firstLineChars="0"/>
              <w:jc w:val="center"/>
              <w:rPr>
                <w:rFonts w:ascii="仿宋" w:hAnsi="仿宋" w:cs="仿宋"/>
                <w:spacing w:val="3"/>
                <w:sz w:val="21"/>
                <w:szCs w:val="21"/>
              </w:rPr>
            </w:pPr>
          </w:p>
        </w:tc>
        <w:tc>
          <w:tcPr>
            <w:tcW w:w="4110"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云平台图形化应用设计</w:t>
            </w:r>
          </w:p>
        </w:tc>
        <w:tc>
          <w:tcPr>
            <w:tcW w:w="914"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（8</w:t>
            </w:r>
            <w:r>
              <w:rPr>
                <w:rFonts w:ascii="仿宋" w:hAnsi="仿宋" w:cs="仿宋"/>
                <w:spacing w:val="3"/>
                <w:sz w:val="21"/>
                <w:szCs w:val="21"/>
              </w:rPr>
              <w:t>%</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62" w:hRule="atLeast"/>
          <w:jc w:val="center"/>
        </w:trPr>
        <w:tc>
          <w:tcPr>
            <w:tcW w:w="1256" w:type="dxa"/>
            <w:vMerge w:val="restart"/>
            <w:vAlign w:val="center"/>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r>
              <w:rPr>
                <w:rFonts w:hint="eastAsia" w:ascii="仿宋" w:cs="仿宋"/>
                <w:spacing w:val="3"/>
                <w:sz w:val="21"/>
                <w:szCs w:val="21"/>
              </w:rPr>
              <w:t>四、物联网应用辅助开发（2</w:t>
            </w:r>
            <w:r>
              <w:rPr>
                <w:rFonts w:ascii="仿宋" w:cs="仿宋"/>
                <w:spacing w:val="3"/>
                <w:sz w:val="21"/>
                <w:szCs w:val="21"/>
              </w:rPr>
              <w:t>5%</w:t>
            </w:r>
            <w:r>
              <w:rPr>
                <w:rFonts w:hint="eastAsia" w:ascii="仿宋" w:cs="仿宋"/>
                <w:spacing w:val="3"/>
                <w:sz w:val="21"/>
                <w:szCs w:val="21"/>
              </w:rPr>
              <w:t>）</w:t>
            </w:r>
          </w:p>
        </w:tc>
        <w:tc>
          <w:tcPr>
            <w:tcW w:w="1985"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物联网应用原型设计</w:t>
            </w:r>
          </w:p>
        </w:tc>
        <w:tc>
          <w:tcPr>
            <w:tcW w:w="4110" w:type="dxa"/>
            <w:vAlign w:val="center"/>
          </w:tcPr>
          <w:p>
            <w:pPr>
              <w:ind w:firstLine="432"/>
              <w:jc w:val="center"/>
              <w:rPr>
                <w:rFonts w:ascii="仿宋" w:hAnsi="仿宋" w:cs="仿宋"/>
                <w:spacing w:val="3"/>
                <w:sz w:val="21"/>
                <w:szCs w:val="21"/>
              </w:rPr>
            </w:pPr>
            <w:r>
              <w:rPr>
                <w:rFonts w:hint="eastAsia" w:ascii="仿宋" w:hAnsi="仿宋" w:cs="仿宋"/>
                <w:spacing w:val="3"/>
                <w:sz w:val="21"/>
                <w:szCs w:val="21"/>
              </w:rPr>
              <w:t>Axure原型设计与发布</w:t>
            </w:r>
          </w:p>
        </w:tc>
        <w:tc>
          <w:tcPr>
            <w:tcW w:w="914"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（3</w:t>
            </w:r>
            <w:r>
              <w:rPr>
                <w:rFonts w:ascii="仿宋" w:hAnsi="仿宋" w:cs="仿宋"/>
                <w:spacing w:val="3"/>
                <w:sz w:val="21"/>
                <w:szCs w:val="21"/>
              </w:rPr>
              <w:t>%</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69" w:hRule="atLeast"/>
          <w:jc w:val="center"/>
        </w:trPr>
        <w:tc>
          <w:tcPr>
            <w:tcW w:w="1256" w:type="dxa"/>
            <w:vMerge w:val="continue"/>
            <w:vAlign w:val="center"/>
          </w:tcPr>
          <w:p>
            <w:pPr>
              <w:autoSpaceDE w:val="0"/>
              <w:autoSpaceDN w:val="0"/>
              <w:ind w:firstLine="0" w:firstLineChars="0"/>
              <w:jc w:val="center"/>
              <w:rPr>
                <w:rFonts w:ascii="仿宋" w:cs="仿宋"/>
                <w:spacing w:val="3"/>
                <w:sz w:val="21"/>
                <w:szCs w:val="21"/>
              </w:rPr>
            </w:pPr>
          </w:p>
        </w:tc>
        <w:tc>
          <w:tcPr>
            <w:tcW w:w="1985"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Zigbee应用开发</w:t>
            </w:r>
          </w:p>
        </w:tc>
        <w:tc>
          <w:tcPr>
            <w:tcW w:w="4110" w:type="dxa"/>
            <w:vAlign w:val="center"/>
          </w:tcPr>
          <w:p>
            <w:pPr>
              <w:ind w:firstLine="432"/>
              <w:jc w:val="center"/>
              <w:rPr>
                <w:rFonts w:ascii="仿宋" w:hAnsi="仿宋" w:cs="仿宋"/>
                <w:spacing w:val="3"/>
                <w:sz w:val="21"/>
                <w:szCs w:val="21"/>
              </w:rPr>
            </w:pPr>
            <w:r>
              <w:rPr>
                <w:rFonts w:hint="eastAsia" w:ascii="仿宋" w:hAnsi="仿宋" w:cs="仿宋"/>
                <w:spacing w:val="3"/>
                <w:sz w:val="21"/>
                <w:szCs w:val="21"/>
              </w:rPr>
              <w:t>Zigbee节点、通信应用等开发</w:t>
            </w:r>
          </w:p>
        </w:tc>
        <w:tc>
          <w:tcPr>
            <w:tcW w:w="914"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（6</w:t>
            </w:r>
            <w:r>
              <w:rPr>
                <w:rFonts w:ascii="仿宋" w:hAnsi="仿宋" w:cs="仿宋"/>
                <w:spacing w:val="3"/>
                <w:sz w:val="21"/>
                <w:szCs w:val="21"/>
              </w:rPr>
              <w:t>%</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158" w:hRule="atLeast"/>
          <w:jc w:val="center"/>
        </w:trPr>
        <w:tc>
          <w:tcPr>
            <w:tcW w:w="1256" w:type="dxa"/>
            <w:vMerge w:val="continue"/>
            <w:vAlign w:val="center"/>
          </w:tcPr>
          <w:p>
            <w:pPr>
              <w:autoSpaceDE w:val="0"/>
              <w:autoSpaceDN w:val="0"/>
              <w:ind w:firstLine="0" w:firstLineChars="0"/>
              <w:jc w:val="center"/>
              <w:rPr>
                <w:rFonts w:ascii="仿宋" w:cs="仿宋"/>
                <w:spacing w:val="3"/>
                <w:sz w:val="21"/>
                <w:szCs w:val="21"/>
              </w:rPr>
            </w:pPr>
          </w:p>
        </w:tc>
        <w:tc>
          <w:tcPr>
            <w:tcW w:w="1985"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STM</w:t>
            </w:r>
            <w:r>
              <w:rPr>
                <w:rFonts w:ascii="仿宋" w:hAnsi="仿宋" w:cs="仿宋"/>
                <w:spacing w:val="3"/>
                <w:sz w:val="21"/>
                <w:szCs w:val="21"/>
              </w:rPr>
              <w:t>32</w:t>
            </w:r>
            <w:r>
              <w:rPr>
                <w:rFonts w:hint="eastAsia" w:ascii="仿宋" w:hAnsi="仿宋" w:cs="仿宋"/>
                <w:spacing w:val="3"/>
                <w:sz w:val="21"/>
                <w:szCs w:val="21"/>
              </w:rPr>
              <w:t>应用开发</w:t>
            </w:r>
          </w:p>
        </w:tc>
        <w:tc>
          <w:tcPr>
            <w:tcW w:w="4110" w:type="dxa"/>
            <w:vAlign w:val="center"/>
          </w:tcPr>
          <w:p>
            <w:pPr>
              <w:ind w:firstLine="432"/>
              <w:jc w:val="center"/>
              <w:rPr>
                <w:rFonts w:ascii="仿宋" w:hAnsi="仿宋" w:cs="仿宋"/>
                <w:spacing w:val="3"/>
                <w:sz w:val="21"/>
                <w:szCs w:val="21"/>
              </w:rPr>
            </w:pPr>
            <w:r>
              <w:rPr>
                <w:rFonts w:hint="eastAsia" w:ascii="仿宋" w:hAnsi="仿宋" w:cs="仿宋"/>
                <w:spacing w:val="3"/>
                <w:sz w:val="21"/>
                <w:szCs w:val="21"/>
              </w:rPr>
              <w:t>Lora/NB-IoT节点开发、通信应用开发</w:t>
            </w:r>
          </w:p>
        </w:tc>
        <w:tc>
          <w:tcPr>
            <w:tcW w:w="914"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（6</w:t>
            </w:r>
            <w:r>
              <w:rPr>
                <w:rFonts w:ascii="仿宋" w:hAnsi="仿宋" w:cs="仿宋"/>
                <w:spacing w:val="3"/>
                <w:sz w:val="21"/>
                <w:szCs w:val="21"/>
              </w:rPr>
              <w:t>%</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72" w:hRule="atLeast"/>
          <w:jc w:val="center"/>
        </w:trPr>
        <w:tc>
          <w:tcPr>
            <w:tcW w:w="1256" w:type="dxa"/>
            <w:vMerge w:val="continue"/>
            <w:vAlign w:val="center"/>
          </w:tcPr>
          <w:p>
            <w:pPr>
              <w:autoSpaceDE w:val="0"/>
              <w:autoSpaceDN w:val="0"/>
              <w:ind w:firstLine="0" w:firstLineChars="0"/>
              <w:jc w:val="center"/>
              <w:rPr>
                <w:rFonts w:ascii="仿宋" w:cs="仿宋"/>
                <w:spacing w:val="3"/>
                <w:sz w:val="21"/>
                <w:szCs w:val="21"/>
              </w:rPr>
            </w:pPr>
          </w:p>
        </w:tc>
        <w:tc>
          <w:tcPr>
            <w:tcW w:w="1985"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Android应用开发</w:t>
            </w:r>
          </w:p>
        </w:tc>
        <w:tc>
          <w:tcPr>
            <w:tcW w:w="4110" w:type="dxa"/>
            <w:vAlign w:val="center"/>
          </w:tcPr>
          <w:p>
            <w:pPr>
              <w:ind w:firstLine="432"/>
              <w:jc w:val="center"/>
              <w:rPr>
                <w:rFonts w:ascii="仿宋" w:hAnsi="仿宋" w:cs="仿宋"/>
                <w:spacing w:val="3"/>
                <w:sz w:val="21"/>
                <w:szCs w:val="21"/>
              </w:rPr>
            </w:pPr>
            <w:r>
              <w:rPr>
                <w:rFonts w:hint="eastAsia" w:ascii="仿宋" w:hAnsi="仿宋" w:cs="仿宋"/>
                <w:spacing w:val="3"/>
                <w:sz w:val="21"/>
                <w:szCs w:val="21"/>
              </w:rPr>
              <w:t>Android物联网应用开发</w:t>
            </w:r>
          </w:p>
        </w:tc>
        <w:tc>
          <w:tcPr>
            <w:tcW w:w="914"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w:t>
            </w:r>
            <w:r>
              <w:rPr>
                <w:rFonts w:ascii="仿宋" w:hAnsi="仿宋" w:cs="仿宋"/>
                <w:spacing w:val="3"/>
                <w:sz w:val="21"/>
                <w:szCs w:val="21"/>
              </w:rPr>
              <w:t>10%</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72" w:hRule="atLeast"/>
          <w:jc w:val="center"/>
        </w:trPr>
        <w:tc>
          <w:tcPr>
            <w:tcW w:w="1256" w:type="dxa"/>
            <w:vMerge w:val="restart"/>
            <w:vAlign w:val="center"/>
          </w:tcPr>
          <w:p>
            <w:pPr>
              <w:autoSpaceDE w:val="0"/>
              <w:autoSpaceDN w:val="0"/>
              <w:ind w:firstLine="0" w:firstLineChars="0"/>
              <w:jc w:val="center"/>
              <w:rPr>
                <w:rFonts w:ascii="仿宋" w:cs="仿宋"/>
                <w:spacing w:val="3"/>
                <w:sz w:val="21"/>
                <w:szCs w:val="21"/>
              </w:rPr>
            </w:pPr>
            <w:r>
              <w:rPr>
                <w:rFonts w:hint="eastAsia" w:ascii="仿宋" w:cs="仿宋"/>
                <w:spacing w:val="3"/>
                <w:sz w:val="21"/>
                <w:szCs w:val="21"/>
              </w:rPr>
              <w:t>五、竞赛指导方案设计（2</w:t>
            </w:r>
            <w:r>
              <w:rPr>
                <w:rFonts w:ascii="仿宋" w:cs="仿宋"/>
                <w:spacing w:val="3"/>
                <w:sz w:val="21"/>
                <w:szCs w:val="21"/>
              </w:rPr>
              <w:t>0%</w:t>
            </w:r>
            <w:r>
              <w:rPr>
                <w:rFonts w:hint="eastAsia" w:ascii="仿宋" w:cs="仿宋"/>
                <w:spacing w:val="3"/>
                <w:sz w:val="21"/>
                <w:szCs w:val="21"/>
              </w:rPr>
              <w:t>）</w:t>
            </w:r>
          </w:p>
        </w:tc>
        <w:tc>
          <w:tcPr>
            <w:tcW w:w="1985"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内容设计</w:t>
            </w:r>
          </w:p>
        </w:tc>
        <w:tc>
          <w:tcPr>
            <w:tcW w:w="4110"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根据物联网技能人才培养要求设计指导内容</w:t>
            </w:r>
          </w:p>
        </w:tc>
        <w:tc>
          <w:tcPr>
            <w:tcW w:w="914"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（6</w:t>
            </w:r>
            <w:r>
              <w:rPr>
                <w:rFonts w:ascii="仿宋" w:hAnsi="仿宋" w:cs="仿宋"/>
                <w:spacing w:val="3"/>
                <w:sz w:val="21"/>
                <w:szCs w:val="21"/>
              </w:rPr>
              <w:t>%</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72" w:hRule="atLeast"/>
          <w:jc w:val="center"/>
        </w:trPr>
        <w:tc>
          <w:tcPr>
            <w:tcW w:w="1256" w:type="dxa"/>
            <w:vMerge w:val="continue"/>
            <w:vAlign w:val="center"/>
          </w:tcPr>
          <w:p>
            <w:pPr>
              <w:autoSpaceDE w:val="0"/>
              <w:autoSpaceDN w:val="0"/>
              <w:ind w:firstLine="0" w:firstLineChars="0"/>
              <w:jc w:val="center"/>
              <w:rPr>
                <w:rFonts w:ascii="仿宋" w:cs="仿宋"/>
                <w:spacing w:val="3"/>
                <w:sz w:val="21"/>
                <w:szCs w:val="21"/>
              </w:rPr>
            </w:pPr>
          </w:p>
        </w:tc>
        <w:tc>
          <w:tcPr>
            <w:tcW w:w="1985"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指导过程</w:t>
            </w:r>
          </w:p>
        </w:tc>
        <w:tc>
          <w:tcPr>
            <w:tcW w:w="4110"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根据学生认知规律和学生特点设计指导步骤和策略</w:t>
            </w:r>
          </w:p>
        </w:tc>
        <w:tc>
          <w:tcPr>
            <w:tcW w:w="914"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w:t>
            </w:r>
            <w:r>
              <w:rPr>
                <w:rFonts w:ascii="仿宋" w:hAnsi="仿宋" w:cs="仿宋"/>
                <w:spacing w:val="3"/>
                <w:sz w:val="21"/>
                <w:szCs w:val="21"/>
              </w:rPr>
              <w:t>6%</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72" w:hRule="atLeast"/>
          <w:jc w:val="center"/>
        </w:trPr>
        <w:tc>
          <w:tcPr>
            <w:tcW w:w="1256" w:type="dxa"/>
            <w:vMerge w:val="continue"/>
            <w:vAlign w:val="center"/>
          </w:tcPr>
          <w:p>
            <w:pPr>
              <w:autoSpaceDE w:val="0"/>
              <w:autoSpaceDN w:val="0"/>
              <w:ind w:firstLine="0" w:firstLineChars="0"/>
              <w:jc w:val="center"/>
              <w:rPr>
                <w:rFonts w:ascii="仿宋" w:cs="仿宋"/>
                <w:spacing w:val="3"/>
                <w:sz w:val="21"/>
                <w:szCs w:val="21"/>
              </w:rPr>
            </w:pPr>
          </w:p>
        </w:tc>
        <w:tc>
          <w:tcPr>
            <w:tcW w:w="1985"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分析优化</w:t>
            </w:r>
          </w:p>
        </w:tc>
        <w:tc>
          <w:tcPr>
            <w:tcW w:w="4110" w:type="dxa"/>
            <w:vAlign w:val="center"/>
          </w:tcPr>
          <w:p>
            <w:pPr>
              <w:ind w:firstLine="0" w:firstLineChars="0"/>
              <w:jc w:val="center"/>
              <w:rPr>
                <w:rFonts w:ascii="仿宋" w:hAnsi="仿宋" w:cs="仿宋"/>
                <w:spacing w:val="3"/>
                <w:sz w:val="21"/>
                <w:szCs w:val="21"/>
              </w:rPr>
            </w:pPr>
            <w:r>
              <w:rPr>
                <w:rFonts w:hint="eastAsia" w:ascii="仿宋" w:hAnsi="仿宋" w:cs="仿宋"/>
                <w:spacing w:val="3"/>
                <w:sz w:val="21"/>
                <w:szCs w:val="21"/>
              </w:rPr>
              <w:t>指导和训练过程分析、优化</w:t>
            </w:r>
          </w:p>
        </w:tc>
        <w:tc>
          <w:tcPr>
            <w:tcW w:w="914" w:type="dxa"/>
            <w:vAlign w:val="center"/>
          </w:tcPr>
          <w:p>
            <w:pPr>
              <w:autoSpaceDE w:val="0"/>
              <w:autoSpaceDN w:val="0"/>
              <w:ind w:firstLine="0" w:firstLineChars="0"/>
              <w:jc w:val="center"/>
              <w:rPr>
                <w:rFonts w:ascii="仿宋" w:hAnsi="仿宋" w:cs="仿宋"/>
                <w:spacing w:val="3"/>
                <w:sz w:val="21"/>
                <w:szCs w:val="21"/>
              </w:rPr>
            </w:pPr>
            <w:r>
              <w:rPr>
                <w:rFonts w:hint="eastAsia" w:ascii="仿宋" w:hAnsi="仿宋" w:cs="仿宋"/>
                <w:spacing w:val="3"/>
                <w:sz w:val="21"/>
                <w:szCs w:val="21"/>
              </w:rPr>
              <w:t>（8</w:t>
            </w:r>
            <w:r>
              <w:rPr>
                <w:rFonts w:ascii="仿宋" w:hAnsi="仿宋" w:cs="仿宋"/>
                <w:spacing w:val="3"/>
                <w:sz w:val="21"/>
                <w:szCs w:val="21"/>
              </w:rPr>
              <w:t>%</w:t>
            </w:r>
            <w:r>
              <w:rPr>
                <w:rFonts w:hint="eastAsia" w:ascii="仿宋" w:hAnsi="仿宋" w:cs="仿宋"/>
                <w:spacing w:val="3"/>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419" w:hRule="atLeast"/>
          <w:jc w:val="center"/>
        </w:trPr>
        <w:tc>
          <w:tcPr>
            <w:tcW w:w="1256" w:type="dxa"/>
            <w:vMerge w:val="restart"/>
            <w:vAlign w:val="center"/>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r>
              <w:rPr>
                <w:rFonts w:hint="eastAsia" w:ascii="仿宋" w:hAnsi="仿宋" w:cs="仿宋"/>
                <w:bCs/>
                <w:color w:val="000000" w:themeColor="text1"/>
                <w:kern w:val="0"/>
                <w:sz w:val="21"/>
                <w:szCs w:val="21"/>
                <w14:textFill>
                  <w14:solidFill>
                    <w14:schemeClr w14:val="tx1"/>
                  </w14:solidFill>
                </w14:textFill>
              </w:rPr>
              <w:t>六、职业素养（3%）</w:t>
            </w:r>
          </w:p>
        </w:tc>
        <w:tc>
          <w:tcPr>
            <w:tcW w:w="6095" w:type="dxa"/>
            <w:gridSpan w:val="2"/>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r>
              <w:rPr>
                <w:rFonts w:ascii="仿宋" w:hAnsi="仿宋" w:cs="仿宋"/>
                <w:bCs/>
                <w:color w:val="000000" w:themeColor="text1"/>
                <w:kern w:val="0"/>
                <w:sz w:val="21"/>
                <w:szCs w:val="21"/>
                <w14:textFill>
                  <w14:solidFill>
                    <w14:schemeClr w14:val="tx1"/>
                  </w14:solidFill>
                </w14:textFill>
              </w:rPr>
              <w:t>1、工位卫生整理情况（1分）</w:t>
            </w:r>
          </w:p>
        </w:tc>
        <w:tc>
          <w:tcPr>
            <w:tcW w:w="914" w:type="dxa"/>
            <w:vAlign w:val="center"/>
          </w:tcPr>
          <w:p>
            <w:pPr>
              <w:ind w:firstLine="0" w:firstLineChars="0"/>
              <w:jc w:val="center"/>
              <w:rPr>
                <w:rFonts w:ascii="仿宋" w:hAnsi="仿宋" w:cs="仿宋"/>
                <w:bCs/>
                <w:color w:val="000000" w:themeColor="text1"/>
                <w:kern w:val="0"/>
                <w:sz w:val="21"/>
                <w:szCs w:val="21"/>
                <w14:textFill>
                  <w14:solidFill>
                    <w14:schemeClr w14:val="tx1"/>
                  </w14:solidFill>
                </w14:textFill>
              </w:rPr>
            </w:pPr>
            <w:r>
              <w:rPr>
                <w:rFonts w:hint="eastAsia" w:ascii="仿宋" w:hAnsi="仿宋" w:cs="仿宋"/>
                <w:bCs/>
                <w:color w:val="000000" w:themeColor="text1"/>
                <w:kern w:val="0"/>
                <w:sz w:val="21"/>
                <w:szCs w:val="21"/>
                <w14:textFill>
                  <w14:solidFill>
                    <w14:schemeClr w14:val="tx1"/>
                  </w14:solidFill>
                </w14:textFill>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419" w:hRule="atLeast"/>
          <w:jc w:val="center"/>
        </w:trPr>
        <w:tc>
          <w:tcPr>
            <w:tcW w:w="1256" w:type="dxa"/>
            <w:vMerge w:val="continue"/>
            <w:vAlign w:val="center"/>
          </w:tcPr>
          <w:p>
            <w:pPr>
              <w:autoSpaceDE w:val="0"/>
              <w:autoSpaceDN w:val="0"/>
              <w:ind w:firstLine="422"/>
              <w:jc w:val="center"/>
              <w:rPr>
                <w:rFonts w:ascii="仿宋" w:hAnsi="仿宋" w:cs="仿宋"/>
                <w:b/>
                <w:color w:val="000000" w:themeColor="text1"/>
                <w:kern w:val="0"/>
                <w:sz w:val="21"/>
                <w:szCs w:val="21"/>
                <w14:textFill>
                  <w14:solidFill>
                    <w14:schemeClr w14:val="tx1"/>
                  </w14:solidFill>
                </w14:textFill>
              </w:rPr>
            </w:pPr>
          </w:p>
        </w:tc>
        <w:tc>
          <w:tcPr>
            <w:tcW w:w="6095" w:type="dxa"/>
            <w:gridSpan w:val="2"/>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r>
              <w:rPr>
                <w:rFonts w:ascii="仿宋" w:hAnsi="仿宋" w:cs="仿宋"/>
                <w:bCs/>
                <w:color w:val="000000" w:themeColor="text1"/>
                <w:kern w:val="0"/>
                <w:sz w:val="21"/>
                <w:szCs w:val="21"/>
                <w14:textFill>
                  <w14:solidFill>
                    <w14:schemeClr w14:val="tx1"/>
                  </w14:solidFill>
                </w14:textFill>
              </w:rPr>
              <w:t>2、耗材</w:t>
            </w:r>
            <w:r>
              <w:rPr>
                <w:rFonts w:hint="eastAsia" w:ascii="仿宋" w:hAnsi="仿宋" w:cs="仿宋"/>
                <w:bCs/>
                <w:color w:val="000000" w:themeColor="text1"/>
                <w:kern w:val="0"/>
                <w:sz w:val="21"/>
                <w:szCs w:val="21"/>
                <w14:textFill>
                  <w14:solidFill>
                    <w14:schemeClr w14:val="tx1"/>
                  </w14:solidFill>
                </w14:textFill>
              </w:rPr>
              <w:t>、</w:t>
            </w:r>
            <w:r>
              <w:rPr>
                <w:rFonts w:ascii="仿宋" w:hAnsi="仿宋" w:cs="仿宋"/>
                <w:bCs/>
                <w:color w:val="000000" w:themeColor="text1"/>
                <w:kern w:val="0"/>
                <w:sz w:val="21"/>
                <w:szCs w:val="21"/>
                <w14:textFill>
                  <w14:solidFill>
                    <w14:schemeClr w14:val="tx1"/>
                  </w14:solidFill>
                </w14:textFill>
              </w:rPr>
              <w:t>工具摆放情况（1分）</w:t>
            </w:r>
          </w:p>
        </w:tc>
        <w:tc>
          <w:tcPr>
            <w:tcW w:w="914" w:type="dxa"/>
            <w:vAlign w:val="center"/>
          </w:tcPr>
          <w:p>
            <w:pPr>
              <w:ind w:firstLine="0" w:firstLineChars="0"/>
              <w:jc w:val="center"/>
              <w:rPr>
                <w:rFonts w:ascii="仿宋" w:hAnsi="仿宋" w:cs="仿宋"/>
                <w:bCs/>
                <w:color w:val="000000" w:themeColor="text1"/>
                <w:kern w:val="0"/>
                <w:sz w:val="21"/>
                <w:szCs w:val="21"/>
                <w14:textFill>
                  <w14:solidFill>
                    <w14:schemeClr w14:val="tx1"/>
                  </w14:solidFill>
                </w14:textFill>
              </w:rPr>
            </w:pPr>
            <w:r>
              <w:rPr>
                <w:rFonts w:hint="eastAsia" w:ascii="仿宋" w:hAnsi="仿宋" w:cs="仿宋"/>
                <w:bCs/>
                <w:color w:val="000000" w:themeColor="text1"/>
                <w:kern w:val="0"/>
                <w:sz w:val="21"/>
                <w:szCs w:val="21"/>
                <w14:textFill>
                  <w14:solidFill>
                    <w14:schemeClr w14:val="tx1"/>
                  </w14:solidFill>
                </w14:textFill>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419" w:hRule="atLeast"/>
          <w:jc w:val="center"/>
        </w:trPr>
        <w:tc>
          <w:tcPr>
            <w:tcW w:w="1256" w:type="dxa"/>
            <w:vMerge w:val="continue"/>
            <w:vAlign w:val="center"/>
          </w:tcPr>
          <w:p>
            <w:pPr>
              <w:autoSpaceDE w:val="0"/>
              <w:autoSpaceDN w:val="0"/>
              <w:ind w:firstLine="422"/>
              <w:jc w:val="center"/>
              <w:rPr>
                <w:rFonts w:ascii="仿宋" w:hAnsi="仿宋" w:cs="仿宋"/>
                <w:b/>
                <w:color w:val="000000" w:themeColor="text1"/>
                <w:kern w:val="0"/>
                <w:sz w:val="21"/>
                <w:szCs w:val="21"/>
                <w14:textFill>
                  <w14:solidFill>
                    <w14:schemeClr w14:val="tx1"/>
                  </w14:solidFill>
                </w14:textFill>
              </w:rPr>
            </w:pPr>
          </w:p>
        </w:tc>
        <w:tc>
          <w:tcPr>
            <w:tcW w:w="6095" w:type="dxa"/>
            <w:gridSpan w:val="2"/>
          </w:tcPr>
          <w:p>
            <w:pPr>
              <w:autoSpaceDE w:val="0"/>
              <w:autoSpaceDN w:val="0"/>
              <w:ind w:firstLine="0" w:firstLineChars="0"/>
              <w:jc w:val="center"/>
              <w:rPr>
                <w:rFonts w:ascii="仿宋" w:hAnsi="仿宋" w:cs="仿宋"/>
                <w:bCs/>
                <w:color w:val="000000" w:themeColor="text1"/>
                <w:kern w:val="0"/>
                <w:sz w:val="21"/>
                <w:szCs w:val="21"/>
                <w14:textFill>
                  <w14:solidFill>
                    <w14:schemeClr w14:val="tx1"/>
                  </w14:solidFill>
                </w14:textFill>
              </w:rPr>
            </w:pPr>
            <w:r>
              <w:rPr>
                <w:rFonts w:ascii="仿宋" w:hAnsi="仿宋" w:cs="仿宋"/>
                <w:bCs/>
                <w:color w:val="000000" w:themeColor="text1"/>
                <w:kern w:val="0"/>
                <w:sz w:val="21"/>
                <w:szCs w:val="21"/>
                <w14:textFill>
                  <w14:solidFill>
                    <w14:schemeClr w14:val="tx1"/>
                  </w14:solidFill>
                </w14:textFill>
              </w:rPr>
              <w:t>3、接线整齐美观情况（1分）</w:t>
            </w:r>
          </w:p>
        </w:tc>
        <w:tc>
          <w:tcPr>
            <w:tcW w:w="914" w:type="dxa"/>
            <w:vAlign w:val="center"/>
          </w:tcPr>
          <w:p>
            <w:pPr>
              <w:ind w:firstLine="0" w:firstLineChars="0"/>
              <w:jc w:val="center"/>
              <w:rPr>
                <w:rFonts w:ascii="仿宋" w:hAnsi="仿宋" w:cs="仿宋"/>
                <w:bCs/>
                <w:color w:val="000000" w:themeColor="text1"/>
                <w:kern w:val="0"/>
                <w:sz w:val="21"/>
                <w:szCs w:val="21"/>
                <w14:textFill>
                  <w14:solidFill>
                    <w14:schemeClr w14:val="tx1"/>
                  </w14:solidFill>
                </w14:textFill>
              </w:rPr>
            </w:pPr>
            <w:r>
              <w:rPr>
                <w:rFonts w:hint="eastAsia" w:ascii="仿宋" w:hAnsi="仿宋" w:cs="仿宋"/>
                <w:bCs/>
                <w:color w:val="000000" w:themeColor="text1"/>
                <w:kern w:val="0"/>
                <w:sz w:val="21"/>
                <w:szCs w:val="21"/>
                <w14:textFill>
                  <w14:solidFill>
                    <w14:schemeClr w14:val="tx1"/>
                  </w14:solidFill>
                </w14:textFill>
              </w:rPr>
              <w:t>（1%）</w:t>
            </w:r>
          </w:p>
        </w:tc>
      </w:tr>
    </w:tbl>
    <w:p>
      <w:pPr>
        <w:ind w:firstLine="482"/>
        <w:rPr>
          <w:rFonts w:ascii="仿宋" w:hAnsi="仿宋" w:cs="仿宋"/>
          <w:b/>
          <w:szCs w:val="24"/>
        </w:rPr>
      </w:pPr>
      <w:r>
        <w:rPr>
          <w:rFonts w:hint="eastAsia" w:ascii="仿宋" w:hAnsi="仿宋" w:cs="仿宋"/>
          <w:b/>
          <w:szCs w:val="24"/>
        </w:rPr>
        <w:t>十二、奖项设定</w:t>
      </w:r>
    </w:p>
    <w:p>
      <w:pPr>
        <w:keepNext/>
        <w:keepLines/>
        <w:ind w:firstLine="482"/>
        <w:outlineLvl w:val="2"/>
        <w:rPr>
          <w:rFonts w:cs="Times New Roman"/>
          <w:b/>
          <w:bCs/>
          <w:szCs w:val="24"/>
        </w:rPr>
      </w:pPr>
      <w:r>
        <w:rPr>
          <w:rFonts w:hint="eastAsia" w:cs="Times New Roman"/>
          <w:b/>
          <w:bCs/>
          <w:szCs w:val="24"/>
        </w:rPr>
        <w:t>（一）</w:t>
      </w:r>
      <w:r>
        <w:rPr>
          <w:rFonts w:cs="Times New Roman"/>
          <w:b/>
          <w:bCs/>
          <w:szCs w:val="24"/>
        </w:rPr>
        <w:t>参赛选手奖</w:t>
      </w:r>
    </w:p>
    <w:p>
      <w:pPr>
        <w:ind w:firstLine="480"/>
        <w:rPr>
          <w:rFonts w:cs="Times New Roman"/>
        </w:rPr>
      </w:pPr>
      <w:r>
        <w:rPr>
          <w:rFonts w:cs="Times New Roman"/>
        </w:rPr>
        <w:t>根据竞赛成绩，从高到低排序，个人赛按参赛人数、团体赛按参赛队的数量，其中10%设一等奖，20%设二等奖，30%设三等奖。</w:t>
      </w:r>
    </w:p>
    <w:p>
      <w:pPr>
        <w:keepNext/>
        <w:keepLines/>
        <w:ind w:firstLine="482"/>
        <w:outlineLvl w:val="2"/>
        <w:rPr>
          <w:rFonts w:cs="Times New Roman"/>
          <w:b/>
          <w:bCs/>
          <w:szCs w:val="24"/>
        </w:rPr>
      </w:pPr>
      <w:r>
        <w:rPr>
          <w:rFonts w:hint="eastAsia" w:cs="Times New Roman"/>
          <w:b/>
          <w:bCs/>
          <w:szCs w:val="24"/>
        </w:rPr>
        <w:t>（二）</w:t>
      </w:r>
      <w:r>
        <w:rPr>
          <w:rFonts w:cs="Times New Roman"/>
          <w:b/>
          <w:bCs/>
          <w:szCs w:val="24"/>
        </w:rPr>
        <w:t>指导教师奖</w:t>
      </w:r>
    </w:p>
    <w:p>
      <w:pPr>
        <w:ind w:firstLine="480"/>
        <w:rPr>
          <w:rFonts w:cs="Times New Roman"/>
          <w:szCs w:val="24"/>
        </w:rPr>
      </w:pPr>
      <w:r>
        <w:rPr>
          <w:rFonts w:cs="Times New Roman"/>
          <w:szCs w:val="24"/>
        </w:rPr>
        <w:t>对获得一、二、三等奖选手的指导教师颁发</w:t>
      </w:r>
      <w:r>
        <w:rPr>
          <w:rFonts w:hint="eastAsia" w:cs="Times New Roman"/>
          <w:szCs w:val="24"/>
        </w:rPr>
        <w:t>指导教师</w:t>
      </w:r>
      <w:r>
        <w:rPr>
          <w:rFonts w:cs="Times New Roman"/>
          <w:szCs w:val="24"/>
        </w:rPr>
        <w:t>奖。</w:t>
      </w:r>
    </w:p>
    <w:p>
      <w:pPr>
        <w:ind w:firstLine="482"/>
        <w:rPr>
          <w:rFonts w:ascii="仿宋" w:hAnsi="仿宋" w:cs="仿宋"/>
          <w:b/>
          <w:szCs w:val="24"/>
        </w:rPr>
      </w:pPr>
      <w:r>
        <w:rPr>
          <w:rFonts w:hint="eastAsia" w:ascii="仿宋" w:hAnsi="仿宋" w:cs="仿宋"/>
          <w:b/>
          <w:szCs w:val="24"/>
        </w:rPr>
        <w:t>十三、赛场预案</w:t>
      </w:r>
    </w:p>
    <w:p>
      <w:pPr>
        <w:ind w:firstLine="480"/>
        <w:rPr>
          <w:color w:val="000000" w:themeColor="text1"/>
          <w14:textFill>
            <w14:solidFill>
              <w14:schemeClr w14:val="tx1"/>
            </w14:solidFill>
          </w14:textFill>
        </w:rPr>
      </w:pPr>
      <w:r>
        <w:rPr>
          <w:color w:val="000000" w:themeColor="text1"/>
          <w14:textFill>
            <w14:solidFill>
              <w14:schemeClr w14:val="tx1"/>
            </w14:solidFill>
          </w14:textFill>
        </w:rPr>
        <w:t>赛前成立由巡视员、专家组长、裁判长、监督组长、仲裁组长</w:t>
      </w:r>
      <w:r>
        <w:rPr>
          <w:rFonts w:hint="eastAsia"/>
          <w:color w:val="000000" w:themeColor="text1"/>
          <w14:textFill>
            <w14:solidFill>
              <w14:schemeClr w14:val="tx1"/>
            </w14:solidFill>
          </w14:textFill>
        </w:rPr>
        <w:t>、承办校领导等</w:t>
      </w:r>
      <w:r>
        <w:rPr>
          <w:color w:val="000000" w:themeColor="text1"/>
          <w14:textFill>
            <w14:solidFill>
              <w14:schemeClr w14:val="tx1"/>
            </w14:solidFill>
          </w14:textFill>
        </w:rPr>
        <w:t>相关人员组成的应急处理小组，比赛期间发生任何意外事故（如赛</w:t>
      </w:r>
      <w:r>
        <w:rPr>
          <w:rFonts w:hint="eastAsia"/>
          <w:color w:val="000000" w:themeColor="text1"/>
          <w14:textFill>
            <w14:solidFill>
              <w14:schemeClr w14:val="tx1"/>
            </w14:solidFill>
          </w14:textFill>
        </w:rPr>
        <w:t>卷</w:t>
      </w:r>
      <w:r>
        <w:rPr>
          <w:color w:val="000000" w:themeColor="text1"/>
          <w14:textFill>
            <w14:solidFill>
              <w14:schemeClr w14:val="tx1"/>
            </w14:solidFill>
          </w14:textFill>
        </w:rPr>
        <w:t>、设备、安全等），发现者应第一时间报告</w:t>
      </w:r>
      <w:r>
        <w:rPr>
          <w:rFonts w:hint="eastAsia"/>
          <w:color w:val="000000" w:themeColor="text1"/>
          <w14:textFill>
            <w14:solidFill>
              <w14:schemeClr w14:val="tx1"/>
            </w14:solidFill>
          </w14:textFill>
        </w:rPr>
        <w:t>专</w:t>
      </w:r>
      <w:r>
        <w:rPr>
          <w:color w:val="000000" w:themeColor="text1"/>
          <w14:textFill>
            <w14:solidFill>
              <w14:schemeClr w14:val="tx1"/>
            </w14:solidFill>
          </w14:textFill>
        </w:rPr>
        <w:t>家组长，立即采取措施避免事态扩大，启动应急预案予以解决并报告大赛</w:t>
      </w:r>
      <w:r>
        <w:rPr>
          <w:rFonts w:hint="eastAsia"/>
          <w:color w:val="000000" w:themeColor="text1"/>
          <w14:textFill>
            <w14:solidFill>
              <w14:schemeClr w14:val="tx1"/>
            </w14:solidFill>
          </w14:textFill>
        </w:rPr>
        <w:t>组委会</w:t>
      </w:r>
      <w:r>
        <w:rPr>
          <w:color w:val="000000" w:themeColor="text1"/>
          <w14:textFill>
            <w14:solidFill>
              <w14:schemeClr w14:val="tx1"/>
            </w14:solidFill>
          </w14:textFill>
        </w:rPr>
        <w:t>。赛项出现重大安全问题可以停赛，是否停赛由赛项</w:t>
      </w:r>
      <w:r>
        <w:rPr>
          <w:rFonts w:hint="eastAsia"/>
          <w:color w:val="000000" w:themeColor="text1"/>
          <w14:textFill>
            <w14:solidFill>
              <w14:schemeClr w14:val="tx1"/>
            </w14:solidFill>
          </w14:textFill>
        </w:rPr>
        <w:t>组委会</w:t>
      </w:r>
      <w:r>
        <w:rPr>
          <w:color w:val="000000" w:themeColor="text1"/>
          <w14:textFill>
            <w14:solidFill>
              <w14:schemeClr w14:val="tx1"/>
            </w14:solidFill>
          </w14:textFill>
        </w:rPr>
        <w:t>决定。事后，应向大赛</w:t>
      </w:r>
      <w:r>
        <w:rPr>
          <w:rFonts w:hint="eastAsia"/>
          <w:color w:val="000000" w:themeColor="text1"/>
          <w14:textFill>
            <w14:solidFill>
              <w14:schemeClr w14:val="tx1"/>
            </w14:solidFill>
          </w14:textFill>
        </w:rPr>
        <w:t>组委会</w:t>
      </w:r>
      <w:r>
        <w:rPr>
          <w:color w:val="000000" w:themeColor="text1"/>
          <w14:textFill>
            <w14:solidFill>
              <w14:schemeClr w14:val="tx1"/>
            </w14:solidFill>
          </w14:textFill>
        </w:rPr>
        <w:t>报告详细情况。</w:t>
      </w:r>
    </w:p>
    <w:p>
      <w:pPr>
        <w:ind w:firstLine="482"/>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（一）医疗及安全事故预案</w:t>
      </w:r>
    </w:p>
    <w:p>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1.现场布置急救设施（如：120急救车和供电车场馆外等候等）。</w:t>
      </w:r>
    </w:p>
    <w:p>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2.赛场内设置医疗救护区（如：竞赛期间，安排医生随时处理突发的医疗事故）。</w:t>
      </w:r>
    </w:p>
    <w:p>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3.竞赛期间偶发大规模意外事件，立即启动《偶发大规模意外事件处理应急预案》（采取中止比赛、快速疏散人群等措施避免事态扩大，并第一时间报告赛区执委会）。</w:t>
      </w:r>
    </w:p>
    <w:p>
      <w:pPr>
        <w:ind w:firstLine="482"/>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（二）水电事件应急预案</w:t>
      </w:r>
    </w:p>
    <w:p>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制订责任到人的事件处理小组，竞赛时现场值守，突发水、电供给不良时及时响应，维持秩序的同时，调配专业的人员，及时查明原因、排除故障。（如现场配置水桶、应急发电车值守等）。</w:t>
      </w:r>
    </w:p>
    <w:p>
      <w:pPr>
        <w:ind w:firstLine="482"/>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（三）火灾事件应急预案</w:t>
      </w:r>
    </w:p>
    <w:p>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制订责任到人的事件处理小组，竞赛时现场值守。如发生火灾，及时组织人员疏散、切断电源，将易燃易爆物品及时转移到安全地段，同时组织人员使用适宜的灭火器材灭火。对轻伤人员有医疗人员进行处置，对重伤人员及时送往医院进行救治。</w:t>
      </w:r>
    </w:p>
    <w:p>
      <w:pPr>
        <w:ind w:firstLine="482"/>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（四）竞赛设备损坏应急预案</w:t>
      </w:r>
    </w:p>
    <w:p>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制订责任到人的竞赛设备损坏应急处理小组，竞赛时现场值守。赛场每个工位由赛场工作人员或厂方技术人员负责，及时解决比赛中突发的设备故障，解决不了的，启用备用工位，保证竞赛正常进行。</w:t>
      </w:r>
    </w:p>
    <w:p>
      <w:pPr>
        <w:numPr>
          <w:ilvl w:val="0"/>
          <w:numId w:val="4"/>
        </w:numPr>
        <w:ind w:firstLine="482"/>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赛卷应急预案</w:t>
      </w:r>
    </w:p>
    <w:p>
      <w:pPr>
        <w:ind w:firstLine="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比赛过程中一旦出现赛卷密等问题，立即由巡视员、专家组长、裁判长、监督组长和仲裁组长会商，并向</w:t>
      </w:r>
      <w:r>
        <w:rPr>
          <w:color w:val="000000" w:themeColor="text1"/>
          <w14:textFill>
            <w14:solidFill>
              <w14:schemeClr w14:val="tx1"/>
            </w14:solidFill>
          </w14:textFill>
        </w:rPr>
        <w:t>大赛</w:t>
      </w:r>
      <w:r>
        <w:rPr>
          <w:rFonts w:hint="eastAsia"/>
          <w:color w:val="000000" w:themeColor="text1"/>
          <w14:textFill>
            <w14:solidFill>
              <w14:schemeClr w14:val="tx1"/>
            </w14:solidFill>
          </w14:textFill>
        </w:rPr>
        <w:t>组委会</w:t>
      </w:r>
      <w:r>
        <w:rPr>
          <w:color w:val="000000" w:themeColor="text1"/>
          <w14:textFill>
            <w14:solidFill>
              <w14:schemeClr w14:val="tx1"/>
            </w14:solidFill>
          </w14:textFill>
        </w:rPr>
        <w:t>报告</w:t>
      </w:r>
      <w:r>
        <w:rPr>
          <w:rFonts w:hint="eastAsia"/>
          <w:color w:val="000000" w:themeColor="text1"/>
          <w14:textFill>
            <w14:solidFill>
              <w14:schemeClr w14:val="tx1"/>
            </w14:solidFill>
          </w14:textFill>
        </w:rPr>
        <w:t>，启用备用赛卷。</w:t>
      </w:r>
    </w:p>
    <w:p>
      <w:pPr>
        <w:ind w:firstLine="482"/>
        <w:rPr>
          <w:rFonts w:ascii="仿宋" w:hAnsi="仿宋" w:cs="仿宋"/>
          <w:b/>
          <w:szCs w:val="24"/>
        </w:rPr>
      </w:pPr>
      <w:r>
        <w:rPr>
          <w:rFonts w:hint="eastAsia" w:ascii="仿宋" w:hAnsi="仿宋" w:cs="仿宋"/>
          <w:b/>
          <w:szCs w:val="24"/>
        </w:rPr>
        <w:t>十四、赛项安全</w:t>
      </w:r>
    </w:p>
    <w:p>
      <w:pPr>
        <w:ind w:firstLine="480"/>
        <w:rPr>
          <w:rFonts w:cs="Times New Roman"/>
          <w:szCs w:val="24"/>
        </w:rPr>
      </w:pPr>
      <w:r>
        <w:rPr>
          <w:rFonts w:hint="eastAsia" w:cs="Times New Roman"/>
          <w:szCs w:val="24"/>
        </w:rPr>
        <w:t>赛项安全是技能竞赛一切工作顺利开展的先决条件，是赛项筹备和运行工作必须考虑的核心问题。采取切实有效措施保证大赛期间参赛选手、指导教师、裁判员、工作人员及观众的人身安全。</w:t>
      </w:r>
    </w:p>
    <w:p>
      <w:pPr>
        <w:keepNext/>
        <w:keepLines/>
        <w:ind w:firstLine="482"/>
        <w:outlineLvl w:val="2"/>
        <w:rPr>
          <w:rFonts w:cs="Times New Roman"/>
          <w:b/>
          <w:bCs/>
          <w:szCs w:val="24"/>
        </w:rPr>
      </w:pPr>
      <w:bookmarkStart w:id="4" w:name="_Toc361563584"/>
      <w:r>
        <w:rPr>
          <w:rFonts w:hint="eastAsia" w:cs="Times New Roman"/>
          <w:b/>
          <w:bCs/>
          <w:szCs w:val="24"/>
        </w:rPr>
        <w:t>（一）比赛环境</w:t>
      </w:r>
      <w:bookmarkEnd w:id="4"/>
    </w:p>
    <w:p>
      <w:pPr>
        <w:ind w:firstLine="480"/>
        <w:rPr>
          <w:rFonts w:cs="Times New Roman"/>
          <w:szCs w:val="24"/>
        </w:rPr>
      </w:pPr>
      <w:r>
        <w:rPr>
          <w:rFonts w:hint="eastAsia" w:cs="Times New Roman"/>
          <w:szCs w:val="24"/>
        </w:rPr>
        <w:t>在赛前组织专人对比赛现场、住宿场所和交通保障进行考察，并对安全工作提出明确要求。赛场的布置，赛场内的器材、设备，应符合国家有关安全规定。如有必要，也可进行赛场仿真模拟测试，以发现可能出现的问题。承办单位赛前须按照赛项规程要求排除安全隐患。</w:t>
      </w:r>
    </w:p>
    <w:p>
      <w:pPr>
        <w:ind w:firstLine="480"/>
        <w:rPr>
          <w:rFonts w:cs="Times New Roman"/>
          <w:szCs w:val="24"/>
        </w:rPr>
      </w:pPr>
      <w:r>
        <w:rPr>
          <w:rFonts w:hint="eastAsia" w:cs="Times New Roman"/>
          <w:szCs w:val="24"/>
        </w:rPr>
        <w:t xml:space="preserve"> 赛场周围要设立警戒线，防止无关人员进入发生意外事件。比赛现场内应参照相关职业岗位的要求为选手提供必要的劳动保护。在具有危险性的操作环节，裁判员要严防选手出现错误操作。</w:t>
      </w:r>
    </w:p>
    <w:p>
      <w:pPr>
        <w:ind w:firstLine="480"/>
        <w:rPr>
          <w:rFonts w:cs="Times New Roman"/>
          <w:szCs w:val="24"/>
        </w:rPr>
      </w:pPr>
      <w:r>
        <w:rPr>
          <w:rFonts w:hint="eastAsia" w:cs="Times New Roman"/>
          <w:szCs w:val="24"/>
        </w:rPr>
        <w:t xml:space="preserve"> 承办单位应提供保证应急预案实施的条件。对于比赛内容涉及高空作业、可能有坠物、大用电量、易发生火灾等情况的赛项，必须明确制度和预案，并配备急救人员与设施。</w:t>
      </w:r>
    </w:p>
    <w:p>
      <w:pPr>
        <w:ind w:firstLine="480"/>
        <w:rPr>
          <w:rFonts w:cs="Times New Roman"/>
          <w:szCs w:val="24"/>
        </w:rPr>
      </w:pPr>
      <w:r>
        <w:rPr>
          <w:rFonts w:hint="eastAsia" w:cs="Times New Roman"/>
          <w:szCs w:val="24"/>
        </w:rPr>
        <w:t>承办单位制定开放赛场和体验区的人员疏导方案。赛场环境中存在人员密集、车流人流交错的区域，除了设置齐全的指示标志外，须增加引导人员，并开辟备用通道。</w:t>
      </w:r>
    </w:p>
    <w:p>
      <w:pPr>
        <w:ind w:firstLine="480"/>
        <w:rPr>
          <w:rFonts w:cs="Times New Roman"/>
          <w:szCs w:val="24"/>
        </w:rPr>
      </w:pPr>
      <w:r>
        <w:rPr>
          <w:rFonts w:hint="eastAsia" w:cs="Times New Roman"/>
          <w:szCs w:val="24"/>
        </w:rPr>
        <w:t xml:space="preserve"> 大赛期间，承办单位应在赛场管理的关键岗位增加力量并建立安全管理日志。</w:t>
      </w:r>
    </w:p>
    <w:p>
      <w:pPr>
        <w:ind w:firstLine="480"/>
        <w:rPr>
          <w:rFonts w:cs="Times New Roman"/>
          <w:szCs w:val="24"/>
        </w:rPr>
      </w:pPr>
      <w:r>
        <w:rPr>
          <w:rFonts w:hint="eastAsia" w:cs="Times New Roman"/>
          <w:szCs w:val="24"/>
        </w:rPr>
        <w:t xml:space="preserve"> 参赛选手进入工位、赛事裁判工作人员进入工作场所，严禁携带通讯、照相摄录设备，禁止携带记录用具。如确有需要，由赛场统一配置、统一管理。赛项可根据需要配置安检设备对进入赛场重要部位的人员进行安检。</w:t>
      </w:r>
    </w:p>
    <w:p>
      <w:pPr>
        <w:keepNext/>
        <w:keepLines/>
        <w:ind w:firstLine="482"/>
        <w:outlineLvl w:val="2"/>
        <w:rPr>
          <w:rFonts w:cs="Times New Roman"/>
          <w:b/>
          <w:bCs/>
          <w:szCs w:val="24"/>
        </w:rPr>
      </w:pPr>
      <w:bookmarkStart w:id="5" w:name="_Toc361563585"/>
      <w:r>
        <w:rPr>
          <w:rFonts w:hint="eastAsia" w:cs="Times New Roman"/>
          <w:b/>
          <w:bCs/>
          <w:szCs w:val="24"/>
        </w:rPr>
        <w:t>（二）生活条件</w:t>
      </w:r>
      <w:bookmarkEnd w:id="5"/>
    </w:p>
    <w:p>
      <w:pPr>
        <w:ind w:firstLine="480"/>
        <w:rPr>
          <w:rFonts w:cs="Times New Roman"/>
          <w:szCs w:val="24"/>
        </w:rPr>
      </w:pPr>
      <w:r>
        <w:rPr>
          <w:rFonts w:hint="eastAsia" w:cs="Times New Roman"/>
          <w:szCs w:val="24"/>
        </w:rPr>
        <w:t xml:space="preserve"> 比赛期间，统一安排参赛选手和指导教师食宿。承办单位须尊重少数民族的信仰及文化，根据国家相关的民族政策，安排好少数民族选手和教师的饮食起居。</w:t>
      </w:r>
    </w:p>
    <w:p>
      <w:pPr>
        <w:ind w:firstLine="480"/>
        <w:rPr>
          <w:rFonts w:cs="Times New Roman"/>
          <w:szCs w:val="24"/>
        </w:rPr>
      </w:pPr>
      <w:r>
        <w:rPr>
          <w:rFonts w:hint="eastAsia" w:cs="Times New Roman"/>
          <w:szCs w:val="24"/>
        </w:rPr>
        <w:t xml:space="preserve"> 比赛期间安排的住宿地应具有宾馆/住宿经营许可资质。以学校宿舍作为住宿地的，大赛期间的住宿、卫生、饮食安全等由提供宿舍的学校负责。</w:t>
      </w:r>
    </w:p>
    <w:p>
      <w:pPr>
        <w:ind w:firstLine="480"/>
        <w:rPr>
          <w:rFonts w:cs="Times New Roman"/>
          <w:szCs w:val="24"/>
        </w:rPr>
      </w:pPr>
      <w:r>
        <w:rPr>
          <w:rFonts w:hint="eastAsia" w:cs="Times New Roman"/>
          <w:szCs w:val="24"/>
        </w:rPr>
        <w:t xml:space="preserve"> 大赛期间承办单位须保障比赛期间选手、指导教师和裁判员、工作人员的交通安全。</w:t>
      </w:r>
    </w:p>
    <w:p>
      <w:pPr>
        <w:ind w:firstLine="480"/>
        <w:rPr>
          <w:rFonts w:cs="Times New Roman"/>
          <w:szCs w:val="24"/>
        </w:rPr>
      </w:pPr>
      <w:r>
        <w:rPr>
          <w:rFonts w:hint="eastAsia" w:cs="Times New Roman"/>
          <w:szCs w:val="24"/>
        </w:rPr>
        <w:t xml:space="preserve"> 各赛项的安全管理，除了可以采取必要的安全隔离措施外，应严格遵守国家相关法律法规，保护个人隐私和人身自由。</w:t>
      </w:r>
    </w:p>
    <w:p>
      <w:pPr>
        <w:keepNext/>
        <w:keepLines/>
        <w:ind w:firstLine="482"/>
        <w:outlineLvl w:val="2"/>
        <w:rPr>
          <w:rFonts w:cs="Times New Roman"/>
          <w:b/>
          <w:bCs/>
          <w:szCs w:val="24"/>
        </w:rPr>
      </w:pPr>
      <w:bookmarkStart w:id="6" w:name="_Toc361563586"/>
      <w:r>
        <w:rPr>
          <w:rFonts w:hint="eastAsia" w:cs="Times New Roman"/>
          <w:b/>
          <w:bCs/>
          <w:szCs w:val="24"/>
        </w:rPr>
        <w:t>（三）参赛队责任</w:t>
      </w:r>
      <w:bookmarkEnd w:id="6"/>
    </w:p>
    <w:p>
      <w:pPr>
        <w:ind w:firstLine="480"/>
        <w:rPr>
          <w:rFonts w:cs="Times New Roman"/>
          <w:szCs w:val="24"/>
        </w:rPr>
      </w:pPr>
      <w:r>
        <w:rPr>
          <w:rFonts w:hint="eastAsia" w:cs="Times New Roman"/>
          <w:szCs w:val="24"/>
        </w:rPr>
        <w:t>1.</w:t>
      </w:r>
      <w:r>
        <w:rPr>
          <w:rFonts w:cs="Times New Roman"/>
          <w:szCs w:val="24"/>
        </w:rPr>
        <w:t xml:space="preserve"> </w:t>
      </w:r>
      <w:r>
        <w:rPr>
          <w:rFonts w:hint="eastAsia" w:cs="Times New Roman"/>
          <w:szCs w:val="24"/>
        </w:rPr>
        <w:t>各学校组织参赛队时，须安排除参赛选手、指导教师、领队以外的随行人员购买大赛期间的人身意外伤害保险。</w:t>
      </w:r>
    </w:p>
    <w:p>
      <w:pPr>
        <w:ind w:firstLine="480"/>
        <w:rPr>
          <w:rFonts w:cs="Times New Roman"/>
          <w:szCs w:val="24"/>
        </w:rPr>
      </w:pPr>
      <w:r>
        <w:rPr>
          <w:rFonts w:hint="eastAsia" w:cs="Times New Roman"/>
          <w:szCs w:val="24"/>
        </w:rPr>
        <w:t>2.</w:t>
      </w:r>
      <w:r>
        <w:rPr>
          <w:rFonts w:cs="Times New Roman"/>
          <w:szCs w:val="24"/>
        </w:rPr>
        <w:t xml:space="preserve"> </w:t>
      </w:r>
      <w:r>
        <w:rPr>
          <w:rFonts w:hint="eastAsia" w:cs="Times New Roman"/>
          <w:szCs w:val="24"/>
        </w:rPr>
        <w:t>各学校参赛队组成后，须制定相关管理制度，并对所有选手、指导教师进行安全教育。</w:t>
      </w:r>
    </w:p>
    <w:p>
      <w:pPr>
        <w:ind w:firstLine="480"/>
        <w:rPr>
          <w:rFonts w:cs="Times New Roman"/>
          <w:szCs w:val="24"/>
        </w:rPr>
      </w:pPr>
      <w:r>
        <w:rPr>
          <w:rFonts w:hint="eastAsia" w:cs="Times New Roman"/>
          <w:szCs w:val="24"/>
        </w:rPr>
        <w:t>3.</w:t>
      </w:r>
      <w:r>
        <w:rPr>
          <w:rFonts w:cs="Times New Roman"/>
          <w:szCs w:val="24"/>
        </w:rPr>
        <w:t xml:space="preserve"> </w:t>
      </w:r>
      <w:r>
        <w:rPr>
          <w:rFonts w:hint="eastAsia" w:cs="Times New Roman"/>
          <w:szCs w:val="24"/>
        </w:rPr>
        <w:t>各参赛队伍须加强对参与比赛人员的安全管理，实现与赛场安全管理的对接。</w:t>
      </w:r>
    </w:p>
    <w:p>
      <w:pPr>
        <w:keepNext/>
        <w:keepLines/>
        <w:ind w:firstLine="482"/>
        <w:outlineLvl w:val="2"/>
        <w:rPr>
          <w:rFonts w:cs="Times New Roman"/>
          <w:b/>
          <w:bCs/>
          <w:szCs w:val="24"/>
        </w:rPr>
      </w:pPr>
      <w:bookmarkStart w:id="7" w:name="_Toc361563587"/>
      <w:r>
        <w:rPr>
          <w:rFonts w:hint="eastAsia" w:cs="Times New Roman"/>
          <w:b/>
          <w:bCs/>
          <w:szCs w:val="24"/>
        </w:rPr>
        <w:t>（四）应急处理</w:t>
      </w:r>
      <w:bookmarkEnd w:id="7"/>
    </w:p>
    <w:p>
      <w:pPr>
        <w:ind w:firstLine="480"/>
        <w:rPr>
          <w:rFonts w:cs="Times New Roman"/>
          <w:szCs w:val="24"/>
        </w:rPr>
      </w:pPr>
      <w:r>
        <w:rPr>
          <w:rFonts w:hint="eastAsia" w:cs="Times New Roman"/>
          <w:szCs w:val="24"/>
        </w:rPr>
        <w:t>比赛期间发生意外事故，发现者应第一时间报告赛项专家组长，同时采取措施避免事态扩大，立即启动预案予以解决并报告组委会。赛项出现重大安全问题可以停赛，应向组委会报告详细情况。</w:t>
      </w:r>
    </w:p>
    <w:p>
      <w:pPr>
        <w:keepNext/>
        <w:keepLines/>
        <w:ind w:firstLine="482"/>
        <w:outlineLvl w:val="2"/>
        <w:rPr>
          <w:rFonts w:cs="Times New Roman"/>
          <w:b/>
          <w:bCs/>
          <w:szCs w:val="24"/>
        </w:rPr>
      </w:pPr>
      <w:bookmarkStart w:id="8" w:name="_Toc361563588"/>
      <w:r>
        <w:rPr>
          <w:rFonts w:hint="eastAsia" w:cs="Times New Roman"/>
          <w:b/>
          <w:bCs/>
          <w:szCs w:val="24"/>
        </w:rPr>
        <w:t>（五）处罚措施</w:t>
      </w:r>
      <w:bookmarkEnd w:id="8"/>
    </w:p>
    <w:p>
      <w:pPr>
        <w:ind w:firstLine="480"/>
        <w:rPr>
          <w:rFonts w:cs="Times New Roman"/>
          <w:szCs w:val="24"/>
        </w:rPr>
      </w:pPr>
      <w:r>
        <w:rPr>
          <w:rFonts w:hint="eastAsia" w:cs="Times New Roman"/>
          <w:szCs w:val="24"/>
        </w:rPr>
        <w:t>1.因参赛队伍原因造成重大安全事故的，取消其获奖资格。</w:t>
      </w:r>
    </w:p>
    <w:p>
      <w:pPr>
        <w:ind w:firstLine="480"/>
        <w:rPr>
          <w:rFonts w:cs="Times New Roman"/>
          <w:szCs w:val="24"/>
        </w:rPr>
      </w:pPr>
      <w:r>
        <w:rPr>
          <w:rFonts w:hint="eastAsia" w:cs="Times New Roman"/>
          <w:szCs w:val="24"/>
        </w:rPr>
        <w:t>2.参赛队伍有发生重大安全事故隐患，经赛场工作人员提示、警告无效的，可取消其继续比赛的资格。</w:t>
      </w:r>
    </w:p>
    <w:p>
      <w:pPr>
        <w:ind w:firstLine="480"/>
        <w:rPr>
          <w:rFonts w:cs="Times New Roman"/>
          <w:szCs w:val="24"/>
        </w:rPr>
      </w:pPr>
      <w:r>
        <w:rPr>
          <w:rFonts w:hint="eastAsia" w:cs="Times New Roman"/>
          <w:szCs w:val="24"/>
        </w:rPr>
        <w:t>3.赛场工作人员违规，按照相应的制度追究责任。情节恶劣并造成重大安全事故的，由司法机关追究相应法律责任。</w:t>
      </w:r>
    </w:p>
    <w:p>
      <w:pPr>
        <w:ind w:firstLine="482"/>
        <w:rPr>
          <w:rFonts w:ascii="仿宋" w:hAnsi="仿宋" w:cs="仿宋"/>
          <w:b/>
          <w:szCs w:val="24"/>
        </w:rPr>
      </w:pPr>
      <w:r>
        <w:rPr>
          <w:rFonts w:hint="eastAsia" w:ascii="仿宋" w:hAnsi="仿宋" w:cs="仿宋"/>
          <w:b/>
          <w:szCs w:val="24"/>
        </w:rPr>
        <w:t>十五、竞赛须知</w:t>
      </w:r>
    </w:p>
    <w:p>
      <w:pPr>
        <w:keepNext/>
        <w:keepLines/>
        <w:ind w:firstLine="482"/>
        <w:outlineLvl w:val="2"/>
        <w:rPr>
          <w:rFonts w:cs="Times New Roman"/>
          <w:b/>
          <w:bCs/>
          <w:szCs w:val="24"/>
        </w:rPr>
      </w:pPr>
      <w:r>
        <w:rPr>
          <w:rFonts w:hint="eastAsia" w:cs="Times New Roman"/>
          <w:b/>
          <w:bCs/>
          <w:szCs w:val="24"/>
        </w:rPr>
        <w:t>（一）参赛队须知</w:t>
      </w:r>
    </w:p>
    <w:p>
      <w:pPr>
        <w:ind w:firstLine="480"/>
        <w:rPr>
          <w:rFonts w:cs="Times New Roman"/>
          <w:szCs w:val="24"/>
        </w:rPr>
      </w:pPr>
      <w:r>
        <w:rPr>
          <w:rFonts w:hint="eastAsia" w:cs="Times New Roman"/>
          <w:szCs w:val="24"/>
        </w:rPr>
        <w:t>1.参赛队名称统一使用规定的代表队名称。</w:t>
      </w:r>
    </w:p>
    <w:p>
      <w:pPr>
        <w:ind w:firstLine="480"/>
        <w:rPr>
          <w:rFonts w:cs="Times New Roman"/>
          <w:szCs w:val="24"/>
        </w:rPr>
      </w:pPr>
      <w:r>
        <w:rPr>
          <w:rFonts w:hint="eastAsia" w:cs="Times New Roman"/>
          <w:szCs w:val="24"/>
        </w:rPr>
        <w:t>2.参赛队员在报名获得审核确认后，原则上不再更换，如筹备过程中，选手因故不能参赛，所在学校需出具书面说明并按相关规定补充人员并接受审核；开赛前10日以内，参赛队不得更换参赛队员，允许缺员比赛。</w:t>
      </w:r>
    </w:p>
    <w:p>
      <w:pPr>
        <w:ind w:firstLine="480"/>
        <w:rPr>
          <w:rFonts w:cs="Times New Roman"/>
          <w:szCs w:val="24"/>
        </w:rPr>
      </w:pPr>
      <w:r>
        <w:rPr>
          <w:rFonts w:hint="eastAsia" w:cs="Times New Roman"/>
          <w:szCs w:val="24"/>
        </w:rPr>
        <w:t>3.参赛队按照大赛赛程安排凭大赛组委会颁发的参赛证和有效身份证件参加比赛及相关活动。</w:t>
      </w:r>
    </w:p>
    <w:p>
      <w:pPr>
        <w:ind w:firstLine="480"/>
        <w:rPr>
          <w:rFonts w:cs="Times New Roman"/>
          <w:szCs w:val="24"/>
        </w:rPr>
      </w:pPr>
      <w:r>
        <w:rPr>
          <w:rFonts w:hint="eastAsia" w:cs="Times New Roman"/>
          <w:szCs w:val="24"/>
        </w:rPr>
        <w:t>4.各参赛队统一安排参加比赛前熟悉场地环境的活动。</w:t>
      </w:r>
    </w:p>
    <w:p>
      <w:pPr>
        <w:ind w:firstLine="480"/>
        <w:rPr>
          <w:rFonts w:cs="Times New Roman"/>
          <w:szCs w:val="24"/>
        </w:rPr>
      </w:pPr>
      <w:r>
        <w:rPr>
          <w:rFonts w:hint="eastAsia" w:cs="Times New Roman"/>
          <w:szCs w:val="24"/>
        </w:rPr>
        <w:t>5.各参赛队准时参加赛前领队会，领队会上举行抽签仪式抽取场次号。</w:t>
      </w:r>
    </w:p>
    <w:p>
      <w:pPr>
        <w:ind w:firstLine="480"/>
        <w:rPr>
          <w:rFonts w:cs="Times New Roman"/>
          <w:szCs w:val="24"/>
        </w:rPr>
      </w:pPr>
      <w:r>
        <w:rPr>
          <w:rFonts w:hint="eastAsia" w:cs="Times New Roman"/>
          <w:szCs w:val="24"/>
        </w:rPr>
        <w:t>6.各参赛队要注意饮食卫生，防止食物中毒。</w:t>
      </w:r>
    </w:p>
    <w:p>
      <w:pPr>
        <w:ind w:firstLine="480"/>
        <w:rPr>
          <w:rFonts w:cs="Times New Roman"/>
          <w:szCs w:val="24"/>
        </w:rPr>
      </w:pPr>
      <w:r>
        <w:rPr>
          <w:rFonts w:hint="eastAsia" w:cs="Times New Roman"/>
          <w:szCs w:val="24"/>
        </w:rPr>
        <w:t>7.各参赛队要发扬良好道德风尚，听从指挥，服从裁判，不弄虚作假。</w:t>
      </w:r>
    </w:p>
    <w:p>
      <w:pPr>
        <w:keepNext/>
        <w:keepLines/>
        <w:ind w:firstLine="482"/>
        <w:outlineLvl w:val="2"/>
        <w:rPr>
          <w:rFonts w:cs="Times New Roman"/>
          <w:b/>
          <w:bCs/>
          <w:szCs w:val="24"/>
        </w:rPr>
      </w:pPr>
      <w:r>
        <w:rPr>
          <w:rFonts w:hint="eastAsia" w:cs="Times New Roman"/>
          <w:b/>
          <w:bCs/>
          <w:szCs w:val="24"/>
        </w:rPr>
        <w:t>（二）指导老师须知</w:t>
      </w:r>
    </w:p>
    <w:p>
      <w:pPr>
        <w:ind w:firstLine="480"/>
        <w:rPr>
          <w:rFonts w:cs="Times New Roman"/>
          <w:szCs w:val="24"/>
        </w:rPr>
      </w:pPr>
      <w:r>
        <w:rPr>
          <w:rFonts w:hint="eastAsia" w:cs="Times New Roman"/>
          <w:szCs w:val="24"/>
        </w:rPr>
        <w:t>1.各指导老师要发扬良好道德风尚，听从指挥，服从裁判，不弄虚作假。指导老师经报名、审核后确定，一经确定不得更换。</w:t>
      </w:r>
    </w:p>
    <w:p>
      <w:pPr>
        <w:ind w:firstLine="480"/>
        <w:rPr>
          <w:rFonts w:cs="Times New Roman"/>
          <w:szCs w:val="24"/>
        </w:rPr>
      </w:pPr>
      <w:r>
        <w:rPr>
          <w:rFonts w:hint="eastAsia" w:cs="Times New Roman"/>
          <w:szCs w:val="24"/>
        </w:rPr>
        <w:t>2.对申诉的仲裁结果，领队和指导老师应带头服从和执行，还应说服选手服从和执行。</w:t>
      </w:r>
    </w:p>
    <w:p>
      <w:pPr>
        <w:ind w:firstLine="480"/>
        <w:rPr>
          <w:rFonts w:cs="Times New Roman"/>
          <w:szCs w:val="24"/>
        </w:rPr>
      </w:pPr>
      <w:r>
        <w:rPr>
          <w:rFonts w:hint="eastAsia" w:cs="Times New Roman"/>
          <w:szCs w:val="24"/>
        </w:rPr>
        <w:t>3.指导老师应认真研究和掌握本赛项比赛的技术规则和赛场要求，指导选手做好赛前的一切准备工作。</w:t>
      </w:r>
    </w:p>
    <w:p>
      <w:pPr>
        <w:ind w:firstLine="480"/>
        <w:rPr>
          <w:rFonts w:cs="Times New Roman"/>
          <w:szCs w:val="24"/>
        </w:rPr>
      </w:pPr>
      <w:r>
        <w:rPr>
          <w:rFonts w:hint="eastAsia" w:cs="Times New Roman"/>
          <w:szCs w:val="24"/>
        </w:rPr>
        <w:t>4.领队和指导老师应在赛后做好技术总结和工作总结。</w:t>
      </w:r>
    </w:p>
    <w:p>
      <w:pPr>
        <w:ind w:firstLine="482"/>
        <w:rPr>
          <w:rFonts w:ascii="Arial Narrow" w:hAnsi="Arial Narrow" w:eastAsia="仿宋_GB2312" w:cs="Times New Roman"/>
          <w:color w:val="FF0000"/>
          <w:sz w:val="28"/>
          <w:szCs w:val="28"/>
        </w:rPr>
      </w:pPr>
      <w:r>
        <w:rPr>
          <w:rFonts w:hint="eastAsia" w:cs="Times New Roman"/>
          <w:b/>
          <w:bCs/>
          <w:szCs w:val="24"/>
        </w:rPr>
        <w:t>（三）参赛选手须知</w:t>
      </w:r>
    </w:p>
    <w:p>
      <w:pPr>
        <w:ind w:firstLine="480"/>
        <w:rPr>
          <w:rFonts w:cs="Times New Roman"/>
        </w:rPr>
      </w:pPr>
      <w:r>
        <w:rPr>
          <w:rFonts w:hint="eastAsia" w:cs="Times New Roman"/>
        </w:rPr>
        <w:t>1.参赛选手应遵守比赛规则，尊重裁判和赛场工作人员，自觉遵守赛场秩序，服从裁判的管理。</w:t>
      </w:r>
    </w:p>
    <w:p>
      <w:pPr>
        <w:ind w:firstLine="480"/>
        <w:rPr>
          <w:rFonts w:cs="Times New Roman"/>
        </w:rPr>
      </w:pPr>
      <w:r>
        <w:rPr>
          <w:rFonts w:hint="eastAsia" w:cs="Times New Roman"/>
        </w:rPr>
        <w:t>2.参赛选手应佩戴参赛证，带齐身份证、注册的学生证。在赛场的着装，应符合职业要求。在赛场的表现，应体现自己良好的职业习惯和职业素养。</w:t>
      </w:r>
    </w:p>
    <w:p>
      <w:pPr>
        <w:ind w:firstLine="480"/>
        <w:rPr>
          <w:rFonts w:cs="Times New Roman"/>
        </w:rPr>
      </w:pPr>
      <w:r>
        <w:rPr>
          <w:rFonts w:hint="eastAsia" w:cs="Times New Roman"/>
        </w:rPr>
        <w:t>3.进入赛场前须将手机等通讯工具交赛场相关人员保管，不能带入赛场。未经检验的工具、电子储存器件和其他不允许带入赛场物品，一律不能进入赛场。</w:t>
      </w:r>
    </w:p>
    <w:p>
      <w:pPr>
        <w:ind w:firstLine="480"/>
        <w:rPr>
          <w:rFonts w:cs="Times New Roman"/>
        </w:rPr>
      </w:pPr>
      <w:r>
        <w:rPr>
          <w:rFonts w:hint="eastAsia" w:cs="Times New Roman"/>
        </w:rPr>
        <w:t>4.比赛过程中不准互相交谈，不得大声喧哗；不得有影响其他选手比赛的行为，不准有旁窥、夹带等作弊行为。</w:t>
      </w:r>
    </w:p>
    <w:p>
      <w:pPr>
        <w:ind w:firstLine="480"/>
        <w:rPr>
          <w:rFonts w:cs="Times New Roman"/>
        </w:rPr>
      </w:pPr>
      <w:r>
        <w:rPr>
          <w:rFonts w:hint="eastAsia" w:cs="Times New Roman"/>
        </w:rPr>
        <w:t>5.参赛选手在比赛的过程中，应遵守安全操作规程，文明的操作。通电调试设备时，应经现场裁判许可，在技术人员监护下进行。</w:t>
      </w:r>
    </w:p>
    <w:p>
      <w:pPr>
        <w:ind w:firstLine="480"/>
        <w:rPr>
          <w:rFonts w:cs="Times New Roman"/>
        </w:rPr>
      </w:pPr>
      <w:r>
        <w:rPr>
          <w:rFonts w:cs="Times New Roman"/>
        </w:rPr>
        <w:t>6</w:t>
      </w:r>
      <w:r>
        <w:rPr>
          <w:rFonts w:hint="eastAsia" w:cs="Times New Roman"/>
        </w:rPr>
        <w:t>.赛场工作人员叫到工位号、在等待评分的选手，应迅速进入赛场，与评分裁判一道完成比赛成绩评定。在评分过程中，选手应配合评分裁判，按要求进行设备的操作；可与裁判沟通，解释设备运行中的问题；不可与裁判争辩、争分，影响评分。</w:t>
      </w:r>
    </w:p>
    <w:p>
      <w:pPr>
        <w:ind w:firstLine="480"/>
        <w:rPr>
          <w:rFonts w:ascii="Arial Narrow" w:hAnsi="Arial Narrow" w:eastAsia="仿宋_GB2312" w:cs="Times New Roman"/>
          <w:color w:val="FF0000"/>
          <w:sz w:val="28"/>
          <w:szCs w:val="28"/>
        </w:rPr>
      </w:pPr>
      <w:r>
        <w:rPr>
          <w:rFonts w:cs="Times New Roman"/>
        </w:rPr>
        <w:t>7</w:t>
      </w:r>
      <w:r>
        <w:rPr>
          <w:rFonts w:hint="eastAsia" w:cs="Times New Roman"/>
        </w:rPr>
        <w:t>.遇突发事件，立即报告裁判和赛场工作人员，按赛场裁判和工作人员的指令行动。</w:t>
      </w:r>
    </w:p>
    <w:p>
      <w:pPr>
        <w:keepNext/>
        <w:keepLines/>
        <w:ind w:firstLine="482"/>
        <w:outlineLvl w:val="2"/>
        <w:rPr>
          <w:rFonts w:cs="Times New Roman"/>
          <w:b/>
          <w:bCs/>
          <w:szCs w:val="24"/>
        </w:rPr>
      </w:pPr>
      <w:r>
        <w:rPr>
          <w:rFonts w:hint="eastAsia" w:cs="Times New Roman"/>
          <w:b/>
          <w:bCs/>
          <w:szCs w:val="24"/>
        </w:rPr>
        <w:t>（四）工作人员须知</w:t>
      </w:r>
    </w:p>
    <w:p>
      <w:pPr>
        <w:ind w:firstLine="480"/>
        <w:rPr>
          <w:rFonts w:cs="Times New Roman"/>
          <w:szCs w:val="24"/>
        </w:rPr>
      </w:pPr>
      <w:r>
        <w:rPr>
          <w:rFonts w:hint="eastAsia" w:cs="Times New Roman"/>
          <w:szCs w:val="24"/>
        </w:rPr>
        <w:t>1.工作人员必须服从赛项组委会统一指挥，佩戴工作人员标识，认真履行职责，做好服务赛场、服务选手的工作。</w:t>
      </w:r>
    </w:p>
    <w:p>
      <w:pPr>
        <w:ind w:firstLine="480"/>
        <w:rPr>
          <w:rFonts w:cs="Times New Roman"/>
          <w:szCs w:val="24"/>
        </w:rPr>
      </w:pPr>
      <w:r>
        <w:rPr>
          <w:rFonts w:hint="eastAsia" w:cs="Times New Roman"/>
          <w:szCs w:val="24"/>
        </w:rPr>
        <w:t>2.工作人员按照分工准时上岗，不得擅自离岗，应认真履行各自的工作职责，保证竞赛工作的顺利进行。</w:t>
      </w:r>
    </w:p>
    <w:p>
      <w:pPr>
        <w:ind w:firstLine="480"/>
        <w:rPr>
          <w:rFonts w:cs="Times New Roman"/>
          <w:szCs w:val="24"/>
        </w:rPr>
      </w:pPr>
      <w:r>
        <w:rPr>
          <w:rFonts w:hint="eastAsia" w:cs="Times New Roman"/>
          <w:szCs w:val="24"/>
        </w:rPr>
        <w:t>3.工作人员应在规定的区域内工作，未经许可，不得擅自进入竞赛场地。如需进场，需经过裁判长同意，核准证件，有裁判跟随入场。</w:t>
      </w:r>
    </w:p>
    <w:p>
      <w:pPr>
        <w:ind w:firstLine="480"/>
        <w:rPr>
          <w:rFonts w:cs="Times New Roman"/>
          <w:szCs w:val="24"/>
        </w:rPr>
      </w:pPr>
      <w:r>
        <w:rPr>
          <w:rFonts w:hint="eastAsia" w:cs="Times New Roman"/>
          <w:szCs w:val="24"/>
        </w:rPr>
        <w:t>4.如遇突发事件，须及时向裁判长报告，同时做好疏导工作，避免重大事故发生，确保竞赛圆满成功。</w:t>
      </w:r>
    </w:p>
    <w:p>
      <w:pPr>
        <w:ind w:firstLine="480"/>
        <w:rPr>
          <w:rFonts w:cs="Times New Roman"/>
          <w:szCs w:val="24"/>
        </w:rPr>
      </w:pPr>
      <w:r>
        <w:rPr>
          <w:rFonts w:hint="eastAsia" w:cs="Times New Roman"/>
          <w:szCs w:val="24"/>
        </w:rPr>
        <w:t>5.竞赛期间，工作人员不得干涉及个人工作职责之外的事宜，不得利用工作之便，弄虚作假、徇私舞弊。如有上述现象或因工作不负责任的情况，造成竞赛程序无法继续进行，由赛项组委会视情节轻重，给予通报批评或停止工作，并通知其所在单位做出相应处理。</w:t>
      </w:r>
    </w:p>
    <w:p>
      <w:pPr>
        <w:keepNext/>
        <w:keepLines/>
        <w:ind w:firstLine="482"/>
        <w:outlineLvl w:val="2"/>
        <w:rPr>
          <w:rFonts w:cs="Times New Roman"/>
          <w:b/>
          <w:bCs/>
          <w:szCs w:val="24"/>
        </w:rPr>
      </w:pPr>
      <w:bookmarkStart w:id="9" w:name="_Toc331270114"/>
      <w:r>
        <w:rPr>
          <w:rFonts w:hint="eastAsia" w:cs="Times New Roman"/>
          <w:b/>
          <w:bCs/>
          <w:szCs w:val="24"/>
        </w:rPr>
        <w:t>（五）裁判员</w:t>
      </w:r>
      <w:bookmarkEnd w:id="9"/>
      <w:r>
        <w:rPr>
          <w:rFonts w:hint="eastAsia" w:cs="Times New Roman"/>
          <w:b/>
          <w:bCs/>
          <w:szCs w:val="24"/>
        </w:rPr>
        <w:t>须知</w:t>
      </w:r>
    </w:p>
    <w:p>
      <w:pPr>
        <w:ind w:firstLine="480"/>
        <w:rPr>
          <w:rFonts w:cs="Times New Roman"/>
          <w:szCs w:val="24"/>
        </w:rPr>
      </w:pPr>
      <w:r>
        <w:rPr>
          <w:rFonts w:hint="eastAsia" w:cs="Times New Roman"/>
          <w:szCs w:val="24"/>
        </w:rPr>
        <w:t>1.裁判员执裁前应参加培训，了解比赛任务及其要求、考核的知识与技能，认真学习评分标准，理解评分表各评价内容和标准。不参加培训的裁判员，取消执裁资格。</w:t>
      </w:r>
    </w:p>
    <w:p>
      <w:pPr>
        <w:ind w:firstLine="480"/>
        <w:rPr>
          <w:rFonts w:cs="Times New Roman"/>
          <w:szCs w:val="24"/>
        </w:rPr>
      </w:pPr>
      <w:r>
        <w:rPr>
          <w:rFonts w:hint="eastAsia" w:cs="Times New Roman"/>
          <w:szCs w:val="24"/>
        </w:rPr>
        <w:t>2.裁判员执裁期间，统一佩戴裁判员标识，举止文明礼貌，接受参赛人员的监督。</w:t>
      </w:r>
    </w:p>
    <w:p>
      <w:pPr>
        <w:ind w:firstLine="480"/>
        <w:rPr>
          <w:rFonts w:cs="Times New Roman"/>
          <w:szCs w:val="24"/>
        </w:rPr>
      </w:pPr>
      <w:r>
        <w:rPr>
          <w:rFonts w:hint="eastAsia" w:cs="Times New Roman"/>
          <w:szCs w:val="24"/>
        </w:rPr>
        <w:t>3.遵守执裁纪律，履行裁判职责，执行竞赛规则，信守裁判承诺书的各项承诺。服从赛项专家组和裁判长的领导。按照分工开展工作，始终坚守工作岗位，不得擅自离岗。</w:t>
      </w:r>
    </w:p>
    <w:p>
      <w:pPr>
        <w:ind w:firstLine="480"/>
        <w:rPr>
          <w:rFonts w:cs="Times New Roman"/>
          <w:szCs w:val="24"/>
        </w:rPr>
      </w:pPr>
      <w:r>
        <w:rPr>
          <w:rFonts w:hint="eastAsia" w:cs="Times New Roman"/>
          <w:szCs w:val="24"/>
        </w:rPr>
        <w:t>4.裁判员有维护赛场秩序、执行赛场纪律的责任，也有保证参赛选手安全的责任。时刻注意参赛选手操作安全的问题，制止违反安全操作的行为，防止安全事故的出现。</w:t>
      </w:r>
    </w:p>
    <w:p>
      <w:pPr>
        <w:ind w:firstLine="480"/>
        <w:rPr>
          <w:rFonts w:cs="Times New Roman"/>
          <w:szCs w:val="24"/>
        </w:rPr>
      </w:pPr>
      <w:r>
        <w:rPr>
          <w:rFonts w:hint="eastAsia" w:cs="Times New Roman"/>
          <w:szCs w:val="24"/>
        </w:rPr>
        <w:t>5.裁判员不得有任何影响参赛选手比赛的行为，不得向参赛选手暗示或解答与竞赛有关的问题，不得指导、帮助选手完成比赛任务。</w:t>
      </w:r>
    </w:p>
    <w:p>
      <w:pPr>
        <w:ind w:firstLine="480"/>
        <w:rPr>
          <w:rFonts w:cs="Times New Roman"/>
          <w:szCs w:val="24"/>
        </w:rPr>
      </w:pPr>
      <w:r>
        <w:rPr>
          <w:rFonts w:hint="eastAsia" w:cs="Times New Roman"/>
          <w:szCs w:val="24"/>
        </w:rPr>
        <w:t>6.公平公正的对待每一位参赛选手，不能有亲近与疏远、热情与冷淡差别。</w:t>
      </w:r>
    </w:p>
    <w:p>
      <w:pPr>
        <w:ind w:firstLine="480"/>
        <w:rPr>
          <w:rFonts w:cs="Times New Roman"/>
          <w:szCs w:val="24"/>
        </w:rPr>
      </w:pPr>
      <w:r>
        <w:rPr>
          <w:rFonts w:cs="Times New Roman"/>
          <w:szCs w:val="24"/>
        </w:rPr>
        <w:t>7</w:t>
      </w:r>
      <w:r>
        <w:rPr>
          <w:rFonts w:hint="eastAsia" w:cs="Times New Roman"/>
          <w:szCs w:val="24"/>
        </w:rPr>
        <w:t>.赛场中选手出现的所有问题如：违反赛场纪律、违反安全操作规程、提前离开赛场等，都应在赛场记录表上记录，并要求学生签工位号确认。</w:t>
      </w:r>
    </w:p>
    <w:p>
      <w:pPr>
        <w:ind w:firstLine="480"/>
        <w:rPr>
          <w:rFonts w:cs="Times New Roman"/>
          <w:szCs w:val="24"/>
        </w:rPr>
      </w:pPr>
      <w:r>
        <w:rPr>
          <w:rFonts w:cs="Times New Roman"/>
          <w:szCs w:val="24"/>
        </w:rPr>
        <w:t>8</w:t>
      </w:r>
      <w:r>
        <w:rPr>
          <w:rFonts w:hint="eastAsia" w:cs="Times New Roman"/>
          <w:szCs w:val="24"/>
        </w:rPr>
        <w:t>.严格执行竞赛项目评分标准，做到公平、公正、真实、准确，杜绝随意打分；对评分表的理解和宽严尺度把握有分歧时，请示裁判长解决。严禁利用工作之便，弄虚作假、徇私舞弊。</w:t>
      </w:r>
    </w:p>
    <w:p>
      <w:pPr>
        <w:ind w:firstLine="480"/>
        <w:rPr>
          <w:rFonts w:cs="Times New Roman"/>
          <w:szCs w:val="24"/>
        </w:rPr>
      </w:pPr>
      <w:r>
        <w:rPr>
          <w:rFonts w:cs="Times New Roman"/>
          <w:szCs w:val="24"/>
        </w:rPr>
        <w:t>9</w:t>
      </w:r>
      <w:r>
        <w:rPr>
          <w:rFonts w:hint="eastAsia" w:cs="Times New Roman"/>
          <w:szCs w:val="24"/>
        </w:rPr>
        <w:t>.竞赛期间，因裁判人员工作不负责任，造成竞赛程序无法继续进行或评判结果不真实的情况，由赛项组委会视情节轻重，给予通报批评或停止裁判资格，并通知其所在单位做出相应处理。</w:t>
      </w:r>
    </w:p>
    <w:p>
      <w:pPr>
        <w:ind w:firstLine="482"/>
        <w:rPr>
          <w:rFonts w:ascii="仿宋" w:hAnsi="仿宋" w:cs="仿宋"/>
          <w:b/>
          <w:szCs w:val="24"/>
        </w:rPr>
      </w:pPr>
      <w:r>
        <w:rPr>
          <w:rFonts w:hint="eastAsia" w:ascii="仿宋" w:hAnsi="仿宋" w:cs="仿宋"/>
          <w:b/>
          <w:szCs w:val="24"/>
        </w:rPr>
        <w:t>十六、申诉与仲裁</w:t>
      </w:r>
    </w:p>
    <w:p>
      <w:pPr>
        <w:ind w:firstLine="424" w:firstLineChars="177"/>
        <w:rPr>
          <w:rFonts w:ascii="仿宋" w:hAnsi="仿宋" w:cs="Arial"/>
          <w:szCs w:val="24"/>
        </w:rPr>
      </w:pPr>
      <w:r>
        <w:rPr>
          <w:rFonts w:hint="eastAsia" w:ascii="仿宋" w:hAnsi="仿宋" w:cs="Arial"/>
          <w:szCs w:val="24"/>
        </w:rPr>
        <w:t>（一）各参赛队对不符合赛项规程规定的设备、工具、材料、计算机软硬件、竞赛执裁、赛场管理及工作人员的不规范行为等，可向赛项仲裁组提出申诉。</w:t>
      </w:r>
    </w:p>
    <w:p>
      <w:pPr>
        <w:ind w:firstLine="424" w:firstLineChars="177"/>
        <w:rPr>
          <w:rFonts w:ascii="仿宋" w:hAnsi="仿宋" w:cs="Arial"/>
          <w:szCs w:val="24"/>
        </w:rPr>
      </w:pPr>
      <w:r>
        <w:rPr>
          <w:rFonts w:hint="eastAsia" w:ascii="仿宋" w:hAnsi="仿宋" w:cs="Arial"/>
          <w:szCs w:val="24"/>
        </w:rPr>
        <w:t>（二）申诉主体为参赛队领队。</w:t>
      </w:r>
    </w:p>
    <w:p>
      <w:pPr>
        <w:ind w:firstLine="424" w:firstLineChars="177"/>
        <w:rPr>
          <w:rFonts w:ascii="仿宋" w:hAnsi="仿宋" w:cs="Arial"/>
          <w:szCs w:val="24"/>
        </w:rPr>
      </w:pPr>
      <w:r>
        <w:rPr>
          <w:rFonts w:hint="eastAsia" w:ascii="仿宋" w:hAnsi="仿宋" w:cs="Arial"/>
          <w:szCs w:val="24"/>
        </w:rPr>
        <w:t>（三）申诉启动时，参赛队以该队领队签字同意的书面报告的形式递交赛项仲裁组。报告应对申诉事件的现象、发生时间、涉及人员、申诉依据等进行充分、实事求是的叙述。非书面申诉不予受理。</w:t>
      </w:r>
    </w:p>
    <w:p>
      <w:pPr>
        <w:ind w:firstLine="424" w:firstLineChars="177"/>
        <w:rPr>
          <w:rFonts w:ascii="仿宋" w:hAnsi="仿宋" w:cs="Arial"/>
          <w:szCs w:val="24"/>
        </w:rPr>
      </w:pPr>
      <w:r>
        <w:rPr>
          <w:rFonts w:hint="eastAsia" w:ascii="仿宋" w:hAnsi="仿宋" w:cs="Arial"/>
          <w:szCs w:val="24"/>
        </w:rPr>
        <w:t>（四）提出申诉应在赛项比赛结束后</w:t>
      </w:r>
      <w:r>
        <w:rPr>
          <w:rFonts w:ascii="仿宋" w:hAnsi="仿宋" w:cs="Arial"/>
          <w:szCs w:val="24"/>
        </w:rPr>
        <w:t>2</w:t>
      </w:r>
      <w:r>
        <w:rPr>
          <w:rFonts w:hint="eastAsia" w:ascii="仿宋" w:hAnsi="仿宋" w:cs="Arial"/>
          <w:szCs w:val="24"/>
        </w:rPr>
        <w:t>小时内提出。超过</w:t>
      </w:r>
      <w:r>
        <w:rPr>
          <w:rFonts w:ascii="仿宋" w:hAnsi="仿宋" w:cs="Arial"/>
          <w:szCs w:val="24"/>
        </w:rPr>
        <w:t>2</w:t>
      </w:r>
      <w:r>
        <w:rPr>
          <w:rFonts w:hint="eastAsia" w:ascii="仿宋" w:hAnsi="仿宋" w:cs="Arial"/>
          <w:szCs w:val="24"/>
        </w:rPr>
        <w:t>小时不予受理。</w:t>
      </w:r>
    </w:p>
    <w:p>
      <w:pPr>
        <w:ind w:firstLine="424" w:firstLineChars="177"/>
        <w:rPr>
          <w:rFonts w:ascii="仿宋" w:hAnsi="仿宋" w:cs="Arial"/>
          <w:szCs w:val="24"/>
        </w:rPr>
      </w:pPr>
      <w:r>
        <w:rPr>
          <w:rFonts w:hint="eastAsia" w:ascii="仿宋" w:hAnsi="仿宋" w:cs="Arial"/>
          <w:szCs w:val="24"/>
        </w:rPr>
        <w:t>（五）赛项仲裁组在接到申诉报告后的</w:t>
      </w:r>
      <w:r>
        <w:rPr>
          <w:rFonts w:ascii="仿宋" w:hAnsi="仿宋" w:cs="Arial"/>
          <w:szCs w:val="24"/>
        </w:rPr>
        <w:t>2</w:t>
      </w:r>
      <w:r>
        <w:rPr>
          <w:rFonts w:hint="eastAsia" w:ascii="仿宋" w:hAnsi="仿宋" w:cs="Arial"/>
          <w:szCs w:val="24"/>
        </w:rPr>
        <w:t>小时内组织复议，并及时将复议结果以书面形式告知申诉方。申诉方对复议结果仍有异议，可由领队向大赛仲裁工作组提出申诉。大赛仲裁工作组的仲裁结果为最终结果。</w:t>
      </w:r>
    </w:p>
    <w:p>
      <w:pPr>
        <w:ind w:firstLine="424" w:firstLineChars="177"/>
        <w:rPr>
          <w:rFonts w:ascii="仿宋" w:hAnsi="仿宋" w:cs="Arial"/>
          <w:szCs w:val="24"/>
        </w:rPr>
      </w:pPr>
      <w:r>
        <w:rPr>
          <w:rFonts w:hint="eastAsia" w:ascii="仿宋" w:hAnsi="仿宋" w:cs="Arial"/>
          <w:szCs w:val="24"/>
        </w:rPr>
        <w:t>（六）申诉方不得以任何理由拒绝接收仲裁结果；不得以任何理由采取过激行为扰乱赛场秩序。仲裁结果由申诉人签收，不能代收；如在约定时间和地点申诉人离开，视为自行放弃申诉。</w:t>
      </w:r>
    </w:p>
    <w:p>
      <w:pPr>
        <w:ind w:firstLine="424" w:firstLineChars="177"/>
        <w:rPr>
          <w:rFonts w:ascii="仿宋" w:hAnsi="仿宋" w:cs="Arial"/>
          <w:szCs w:val="24"/>
        </w:rPr>
      </w:pPr>
      <w:r>
        <w:rPr>
          <w:rFonts w:hint="eastAsia" w:ascii="仿宋" w:hAnsi="仿宋" w:cs="Arial"/>
          <w:szCs w:val="24"/>
        </w:rPr>
        <w:t>（七）申诉方可随时提出放弃申诉。</w:t>
      </w:r>
    </w:p>
    <w:p>
      <w:pPr>
        <w:ind w:firstLine="482"/>
        <w:rPr>
          <w:rFonts w:ascii="仿宋" w:hAnsi="仿宋" w:cs="仿宋"/>
          <w:b/>
          <w:szCs w:val="24"/>
        </w:rPr>
      </w:pPr>
      <w:r>
        <w:rPr>
          <w:rFonts w:hint="eastAsia" w:ascii="仿宋" w:hAnsi="仿宋" w:cs="仿宋"/>
          <w:b/>
          <w:szCs w:val="24"/>
        </w:rPr>
        <w:t>十七、竞赛观摩</w:t>
      </w:r>
    </w:p>
    <w:p>
      <w:pPr>
        <w:ind w:firstLine="480"/>
        <w:rPr>
          <w:rFonts w:cs="Times New Roman"/>
        </w:rPr>
      </w:pPr>
      <w:r>
        <w:rPr>
          <w:rFonts w:cs="Times New Roman"/>
        </w:rPr>
        <w:t>1.观摩期间，必须服从现场工作人员的指挥，保持安静，不得大声喧哗，不得在观摩区来回走动影响他人观摩。</w:t>
      </w:r>
    </w:p>
    <w:p>
      <w:pPr>
        <w:ind w:firstLine="480"/>
        <w:rPr>
          <w:rFonts w:cs="Times New Roman"/>
        </w:rPr>
      </w:pPr>
      <w:r>
        <w:rPr>
          <w:rFonts w:cs="Times New Roman"/>
        </w:rPr>
        <w:t>2.各参赛队人员需提前</w:t>
      </w:r>
      <w:r>
        <w:rPr>
          <w:rFonts w:hint="eastAsia" w:cs="Times New Roman"/>
        </w:rPr>
        <w:t>15</w:t>
      </w:r>
      <w:r>
        <w:rPr>
          <w:rFonts w:cs="Times New Roman"/>
        </w:rPr>
        <w:t>分钟到达观摩区入口处进行证件核查。</w:t>
      </w:r>
    </w:p>
    <w:p>
      <w:pPr>
        <w:ind w:firstLine="480"/>
        <w:rPr>
          <w:rFonts w:cs="Times New Roman"/>
        </w:rPr>
      </w:pPr>
      <w:r>
        <w:rPr>
          <w:rFonts w:cs="Times New Roman"/>
        </w:rPr>
        <w:t>3.视频观摩地点</w:t>
      </w:r>
      <w:r>
        <w:rPr>
          <w:rFonts w:hint="eastAsia" w:cs="Times New Roman"/>
        </w:rPr>
        <w:t>由承办院校安排</w:t>
      </w:r>
      <w:r>
        <w:rPr>
          <w:rFonts w:cs="Times New Roman"/>
        </w:rPr>
        <w:t>，观摩人员在观摩期间，不得吸烟，不得携带水或液体食品进入观摩区。</w:t>
      </w:r>
    </w:p>
    <w:p>
      <w:pPr>
        <w:ind w:left="480" w:firstLine="0" w:firstLineChars="0"/>
        <w:rPr>
          <w:rFonts w:ascii="仿宋" w:hAnsi="仿宋" w:cs="仿宋"/>
          <w:b/>
          <w:color w:val="FF0000"/>
          <w:szCs w:val="24"/>
        </w:rPr>
      </w:pPr>
      <w:r>
        <w:rPr>
          <w:rFonts w:hint="eastAsia" w:ascii="仿宋" w:hAnsi="仿宋" w:cs="仿宋"/>
          <w:b/>
          <w:szCs w:val="24"/>
        </w:rPr>
        <w:t>十八、竞赛直播</w:t>
      </w:r>
    </w:p>
    <w:p>
      <w:pPr>
        <w:ind w:firstLine="480"/>
        <w:rPr>
          <w:rFonts w:cs="Times New Roman"/>
        </w:rPr>
      </w:pPr>
      <w:r>
        <w:rPr>
          <w:rFonts w:cs="Times New Roman"/>
        </w:rPr>
        <w:t>1.赛场内部署无盲点录像设备，能实时录制并播送赛场情况；</w:t>
      </w:r>
    </w:p>
    <w:p>
      <w:pPr>
        <w:ind w:firstLine="480"/>
        <w:rPr>
          <w:rFonts w:cs="Times New Roman"/>
          <w:i/>
        </w:rPr>
      </w:pPr>
      <w:r>
        <w:rPr>
          <w:rFonts w:cs="Times New Roman"/>
        </w:rPr>
        <w:t>2.赛场外有大屏幕或投影，同步显示赛场内竞赛状况；</w:t>
      </w:r>
    </w:p>
    <w:p>
      <w:pPr>
        <w:ind w:firstLine="480"/>
        <w:rPr>
          <w:rFonts w:cs="Times New Roman"/>
        </w:rPr>
      </w:pPr>
      <w:r>
        <w:rPr>
          <w:rFonts w:cs="Times New Roman"/>
        </w:rPr>
        <w:t>3.条件允许时，</w:t>
      </w:r>
      <w:r>
        <w:rPr>
          <w:rFonts w:hint="eastAsia" w:cs="Times New Roman"/>
        </w:rPr>
        <w:t>本赛项</w:t>
      </w:r>
      <w:r>
        <w:rPr>
          <w:rFonts w:cs="Times New Roman"/>
        </w:rPr>
        <w:t>进行网上直播。</w:t>
      </w:r>
    </w:p>
    <w:p>
      <w:pPr>
        <w:ind w:firstLine="482"/>
        <w:rPr>
          <w:rFonts w:ascii="仿宋" w:hAnsi="仿宋" w:cs="仿宋"/>
          <w:b/>
          <w:szCs w:val="24"/>
        </w:rPr>
      </w:pPr>
      <w:r>
        <w:rPr>
          <w:rFonts w:hint="eastAsia" w:ascii="仿宋" w:hAnsi="仿宋" w:cs="仿宋"/>
          <w:b/>
          <w:szCs w:val="24"/>
        </w:rPr>
        <w:t>十九、其他</w:t>
      </w:r>
    </w:p>
    <w:p>
      <w:pPr>
        <w:ind w:firstLine="480"/>
        <w:rPr>
          <w:szCs w:val="24"/>
        </w:rPr>
      </w:pPr>
      <w:r>
        <w:rPr>
          <w:szCs w:val="24"/>
        </w:rPr>
        <w:t>1.</w:t>
      </w:r>
      <w:r>
        <w:rPr>
          <w:rFonts w:hint="eastAsia"/>
          <w:szCs w:val="24"/>
        </w:rPr>
        <w:t>参赛选手及相关工作人员，由赛项承办院校赛统一安排食宿，费用自理。</w:t>
      </w:r>
    </w:p>
    <w:p>
      <w:pPr>
        <w:ind w:firstLine="480"/>
        <w:rPr>
          <w:szCs w:val="24"/>
        </w:rPr>
      </w:pPr>
      <w:r>
        <w:rPr>
          <w:szCs w:val="24"/>
        </w:rPr>
        <w:t>2.</w:t>
      </w:r>
      <w:r>
        <w:rPr>
          <w:rFonts w:hint="eastAsia"/>
          <w:szCs w:val="24"/>
        </w:rPr>
        <w:t>本技术文件的最终解释权归大赛组织委员会。</w:t>
      </w:r>
    </w:p>
    <w:p>
      <w:pPr>
        <w:snapToGrid w:val="0"/>
        <w:spacing w:line="540" w:lineRule="exact"/>
        <w:ind w:firstLine="0" w:firstLineChars="0"/>
        <w:rPr>
          <w:rFonts w:ascii="仿宋" w:hAnsi="仿宋" w:cs="仿宋"/>
          <w:bCs/>
          <w:szCs w:val="24"/>
        </w:rPr>
      </w:pPr>
      <w:r>
        <w:rPr>
          <w:rFonts w:hint="eastAsia" w:ascii="仿宋" w:hAnsi="仿宋" w:cs="仿宋"/>
          <w:bCs/>
          <w:szCs w:val="24"/>
        </w:rPr>
        <w:t>附件一、学生组赛卷样卷</w:t>
      </w:r>
    </w:p>
    <w:p>
      <w:pPr>
        <w:snapToGrid w:val="0"/>
        <w:spacing w:line="540" w:lineRule="exact"/>
        <w:ind w:firstLine="0" w:firstLineChars="0"/>
        <w:rPr>
          <w:rFonts w:ascii="仿宋" w:hAnsi="仿宋" w:cs="仿宋"/>
          <w:bCs/>
          <w:szCs w:val="24"/>
        </w:rPr>
      </w:pPr>
      <w:r>
        <w:rPr>
          <w:rFonts w:hint="eastAsia" w:ascii="仿宋" w:hAnsi="仿宋" w:cs="仿宋"/>
          <w:bCs/>
          <w:szCs w:val="24"/>
        </w:rPr>
        <w:t>附件二、教师组赛卷样卷</w:t>
      </w:r>
    </w:p>
    <w:p>
      <w:pPr>
        <w:snapToGrid w:val="0"/>
        <w:spacing w:line="540" w:lineRule="exact"/>
        <w:ind w:firstLine="0" w:firstLineChars="0"/>
        <w:rPr>
          <w:rFonts w:ascii="仿宋" w:hAnsi="仿宋" w:cs="仿宋"/>
          <w:bCs/>
          <w:szCs w:val="24"/>
        </w:rPr>
      </w:pPr>
    </w:p>
    <w:p>
      <w:pPr>
        <w:ind w:firstLine="560"/>
        <w:rPr>
          <w:rFonts w:ascii="宋体" w:hAnsi="宋体" w:eastAsia="宋体" w:cs="宋体"/>
          <w:sz w:val="28"/>
          <w:szCs w:val="28"/>
        </w:rPr>
      </w:pPr>
      <w:bookmarkStart w:id="10" w:name="_GoBack"/>
      <w:bookmarkEnd w:id="10"/>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Narrow">
    <w:panose1 w:val="020B0606020202030204"/>
    <w:charset w:val="00"/>
    <w:family w:val="swiss"/>
    <w:pitch w:val="default"/>
    <w:sig w:usb0="00000287" w:usb1="00000800" w:usb2="00000000" w:usb3="00000000" w:csb0="2000009F" w:csb1="DFD7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rFonts w:hint="eastAsia"/>
      </w:rPr>
      <w:t>2023年江苏省职业院校技能大赛中职赛项规程</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84F677"/>
    <w:multiLevelType w:val="singleLevel"/>
    <w:tmpl w:val="8584F677"/>
    <w:lvl w:ilvl="0" w:tentative="0">
      <w:start w:val="1"/>
      <w:numFmt w:val="chineseCounting"/>
      <w:suff w:val="nothing"/>
      <w:lvlText w:val="（%1）"/>
      <w:lvlJc w:val="left"/>
      <w:rPr>
        <w:rFonts w:hint="eastAsia"/>
        <w:color w:val="auto"/>
      </w:rPr>
    </w:lvl>
  </w:abstractNum>
  <w:abstractNum w:abstractNumId="1">
    <w:nsid w:val="A9F9B30D"/>
    <w:multiLevelType w:val="singleLevel"/>
    <w:tmpl w:val="A9F9B30D"/>
    <w:lvl w:ilvl="0" w:tentative="0">
      <w:start w:val="2"/>
      <w:numFmt w:val="chineseCounting"/>
      <w:suff w:val="nothing"/>
      <w:lvlText w:val="%1、"/>
      <w:lvlJc w:val="left"/>
      <w:rPr>
        <w:rFonts w:hint="eastAsia"/>
        <w:color w:val="auto"/>
      </w:rPr>
    </w:lvl>
  </w:abstractNum>
  <w:abstractNum w:abstractNumId="2">
    <w:nsid w:val="AE75E63A"/>
    <w:multiLevelType w:val="singleLevel"/>
    <w:tmpl w:val="AE75E63A"/>
    <w:lvl w:ilvl="0" w:tentative="0">
      <w:start w:val="1"/>
      <w:numFmt w:val="chineseCounting"/>
      <w:suff w:val="nothing"/>
      <w:lvlText w:val="（%1）"/>
      <w:lvlJc w:val="left"/>
      <w:rPr>
        <w:rFonts w:hint="eastAsia"/>
      </w:rPr>
    </w:lvl>
  </w:abstractNum>
  <w:abstractNum w:abstractNumId="3">
    <w:nsid w:val="DF6407F7"/>
    <w:multiLevelType w:val="singleLevel"/>
    <w:tmpl w:val="DF6407F7"/>
    <w:lvl w:ilvl="0" w:tentative="0">
      <w:start w:val="5"/>
      <w:numFmt w:val="chineseCounting"/>
      <w:suff w:val="nothing"/>
      <w:lvlText w:val="（%1）"/>
      <w:lvlJc w:val="left"/>
      <w:rPr>
        <w:rFonts w:hint="eastAsia"/>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2N2IyZjZmNjQ2Y2I1ZTNmMzNlYjExZGVlYWRjOWMifQ=="/>
  </w:docVars>
  <w:rsids>
    <w:rsidRoot w:val="008139EB"/>
    <w:rsid w:val="0000560E"/>
    <w:rsid w:val="00027713"/>
    <w:rsid w:val="000378F7"/>
    <w:rsid w:val="00040852"/>
    <w:rsid w:val="00044BB3"/>
    <w:rsid w:val="000614BA"/>
    <w:rsid w:val="000627E4"/>
    <w:rsid w:val="00065C69"/>
    <w:rsid w:val="00071753"/>
    <w:rsid w:val="00084F12"/>
    <w:rsid w:val="000A2600"/>
    <w:rsid w:val="000A3D57"/>
    <w:rsid w:val="000A7620"/>
    <w:rsid w:val="000B2999"/>
    <w:rsid w:val="000C744D"/>
    <w:rsid w:val="000D0631"/>
    <w:rsid w:val="000D579A"/>
    <w:rsid w:val="00101C88"/>
    <w:rsid w:val="00113028"/>
    <w:rsid w:val="00123D1F"/>
    <w:rsid w:val="001763A3"/>
    <w:rsid w:val="001827AE"/>
    <w:rsid w:val="001A610D"/>
    <w:rsid w:val="001B2BDE"/>
    <w:rsid w:val="001B3B87"/>
    <w:rsid w:val="001D18BB"/>
    <w:rsid w:val="001E6557"/>
    <w:rsid w:val="001F6F91"/>
    <w:rsid w:val="00201F3B"/>
    <w:rsid w:val="00203924"/>
    <w:rsid w:val="002230E4"/>
    <w:rsid w:val="00224F65"/>
    <w:rsid w:val="00266FB6"/>
    <w:rsid w:val="00283DD5"/>
    <w:rsid w:val="002925ED"/>
    <w:rsid w:val="002D20B4"/>
    <w:rsid w:val="002E0221"/>
    <w:rsid w:val="002E5E1F"/>
    <w:rsid w:val="002E7F90"/>
    <w:rsid w:val="002F0E33"/>
    <w:rsid w:val="002F1D1A"/>
    <w:rsid w:val="002F4E5F"/>
    <w:rsid w:val="00320797"/>
    <w:rsid w:val="00344F71"/>
    <w:rsid w:val="003455A8"/>
    <w:rsid w:val="00345627"/>
    <w:rsid w:val="00372424"/>
    <w:rsid w:val="00372431"/>
    <w:rsid w:val="0038781F"/>
    <w:rsid w:val="0039056D"/>
    <w:rsid w:val="003B0CDA"/>
    <w:rsid w:val="003E71A3"/>
    <w:rsid w:val="003F00FF"/>
    <w:rsid w:val="00423FFA"/>
    <w:rsid w:val="004439F0"/>
    <w:rsid w:val="0044684F"/>
    <w:rsid w:val="004603F4"/>
    <w:rsid w:val="00466A14"/>
    <w:rsid w:val="004728DA"/>
    <w:rsid w:val="00485957"/>
    <w:rsid w:val="004A5644"/>
    <w:rsid w:val="004A7E70"/>
    <w:rsid w:val="004C386B"/>
    <w:rsid w:val="004E3104"/>
    <w:rsid w:val="004E7E08"/>
    <w:rsid w:val="004F60BD"/>
    <w:rsid w:val="004F7D20"/>
    <w:rsid w:val="00502A07"/>
    <w:rsid w:val="005253A3"/>
    <w:rsid w:val="005321F9"/>
    <w:rsid w:val="00533868"/>
    <w:rsid w:val="00535E17"/>
    <w:rsid w:val="00535E32"/>
    <w:rsid w:val="00541694"/>
    <w:rsid w:val="005525BC"/>
    <w:rsid w:val="005538CE"/>
    <w:rsid w:val="0055797B"/>
    <w:rsid w:val="005825A6"/>
    <w:rsid w:val="00597934"/>
    <w:rsid w:val="005A1B56"/>
    <w:rsid w:val="005A44A8"/>
    <w:rsid w:val="005C732B"/>
    <w:rsid w:val="005E710B"/>
    <w:rsid w:val="005F5BFE"/>
    <w:rsid w:val="00622B30"/>
    <w:rsid w:val="006603C2"/>
    <w:rsid w:val="00660462"/>
    <w:rsid w:val="00670393"/>
    <w:rsid w:val="00681C33"/>
    <w:rsid w:val="0068498D"/>
    <w:rsid w:val="006849FC"/>
    <w:rsid w:val="006A2534"/>
    <w:rsid w:val="006C3AA2"/>
    <w:rsid w:val="006E35AA"/>
    <w:rsid w:val="006E4CD0"/>
    <w:rsid w:val="006F6F24"/>
    <w:rsid w:val="00704F4E"/>
    <w:rsid w:val="007473F9"/>
    <w:rsid w:val="007513D7"/>
    <w:rsid w:val="00754BD7"/>
    <w:rsid w:val="007570BE"/>
    <w:rsid w:val="00792B6A"/>
    <w:rsid w:val="007964DA"/>
    <w:rsid w:val="007A6899"/>
    <w:rsid w:val="007B39EF"/>
    <w:rsid w:val="007C6DF2"/>
    <w:rsid w:val="007D1B61"/>
    <w:rsid w:val="007D7427"/>
    <w:rsid w:val="007F211C"/>
    <w:rsid w:val="007F79FC"/>
    <w:rsid w:val="0080712A"/>
    <w:rsid w:val="008139EB"/>
    <w:rsid w:val="00835018"/>
    <w:rsid w:val="0083618F"/>
    <w:rsid w:val="008570D5"/>
    <w:rsid w:val="00857C97"/>
    <w:rsid w:val="00863436"/>
    <w:rsid w:val="00866E6B"/>
    <w:rsid w:val="008727E1"/>
    <w:rsid w:val="00873BD4"/>
    <w:rsid w:val="0089158A"/>
    <w:rsid w:val="008B60A6"/>
    <w:rsid w:val="008C10C5"/>
    <w:rsid w:val="008D37C4"/>
    <w:rsid w:val="008E3872"/>
    <w:rsid w:val="008F4093"/>
    <w:rsid w:val="008F67F0"/>
    <w:rsid w:val="00901947"/>
    <w:rsid w:val="00905CE6"/>
    <w:rsid w:val="00916669"/>
    <w:rsid w:val="00922483"/>
    <w:rsid w:val="00926F28"/>
    <w:rsid w:val="00931AAE"/>
    <w:rsid w:val="00954432"/>
    <w:rsid w:val="009613D4"/>
    <w:rsid w:val="0096691F"/>
    <w:rsid w:val="00966D52"/>
    <w:rsid w:val="00975366"/>
    <w:rsid w:val="00975BBB"/>
    <w:rsid w:val="009825CB"/>
    <w:rsid w:val="009959E8"/>
    <w:rsid w:val="009A20D9"/>
    <w:rsid w:val="009B5771"/>
    <w:rsid w:val="009C45FB"/>
    <w:rsid w:val="009E2F1C"/>
    <w:rsid w:val="009F5E80"/>
    <w:rsid w:val="00A059D6"/>
    <w:rsid w:val="00A22671"/>
    <w:rsid w:val="00A272C0"/>
    <w:rsid w:val="00A31F4E"/>
    <w:rsid w:val="00A34E62"/>
    <w:rsid w:val="00A5540D"/>
    <w:rsid w:val="00A56BD7"/>
    <w:rsid w:val="00A74C8E"/>
    <w:rsid w:val="00A757AC"/>
    <w:rsid w:val="00A77123"/>
    <w:rsid w:val="00A84B7A"/>
    <w:rsid w:val="00A9206B"/>
    <w:rsid w:val="00AB3C7A"/>
    <w:rsid w:val="00AC69D9"/>
    <w:rsid w:val="00AD60B5"/>
    <w:rsid w:val="00AF79F5"/>
    <w:rsid w:val="00B12823"/>
    <w:rsid w:val="00B21DCA"/>
    <w:rsid w:val="00B303DA"/>
    <w:rsid w:val="00B379E3"/>
    <w:rsid w:val="00B662E7"/>
    <w:rsid w:val="00B80F09"/>
    <w:rsid w:val="00B914E0"/>
    <w:rsid w:val="00BA3086"/>
    <w:rsid w:val="00BC08B4"/>
    <w:rsid w:val="00BC44EA"/>
    <w:rsid w:val="00BD4615"/>
    <w:rsid w:val="00BD5A57"/>
    <w:rsid w:val="00BF4735"/>
    <w:rsid w:val="00C2185F"/>
    <w:rsid w:val="00C22C15"/>
    <w:rsid w:val="00C239F9"/>
    <w:rsid w:val="00C437F3"/>
    <w:rsid w:val="00C514BC"/>
    <w:rsid w:val="00C80FDC"/>
    <w:rsid w:val="00CA01DE"/>
    <w:rsid w:val="00CB3691"/>
    <w:rsid w:val="00CB7347"/>
    <w:rsid w:val="00CC1658"/>
    <w:rsid w:val="00CD04EB"/>
    <w:rsid w:val="00D1054F"/>
    <w:rsid w:val="00D15409"/>
    <w:rsid w:val="00D15D71"/>
    <w:rsid w:val="00D15E71"/>
    <w:rsid w:val="00D1743A"/>
    <w:rsid w:val="00D32A43"/>
    <w:rsid w:val="00D35AC2"/>
    <w:rsid w:val="00D40BE4"/>
    <w:rsid w:val="00D54F3C"/>
    <w:rsid w:val="00D7725F"/>
    <w:rsid w:val="00D86FA4"/>
    <w:rsid w:val="00D94F16"/>
    <w:rsid w:val="00DA4642"/>
    <w:rsid w:val="00DB017E"/>
    <w:rsid w:val="00DF4C40"/>
    <w:rsid w:val="00DF5484"/>
    <w:rsid w:val="00E25F1B"/>
    <w:rsid w:val="00E25FA6"/>
    <w:rsid w:val="00E811F9"/>
    <w:rsid w:val="00E81206"/>
    <w:rsid w:val="00EA434F"/>
    <w:rsid w:val="00ED62E5"/>
    <w:rsid w:val="00ED6740"/>
    <w:rsid w:val="00F46D3E"/>
    <w:rsid w:val="00F61704"/>
    <w:rsid w:val="00F70991"/>
    <w:rsid w:val="00F75E42"/>
    <w:rsid w:val="00F82586"/>
    <w:rsid w:val="00F83712"/>
    <w:rsid w:val="00FB7BEC"/>
    <w:rsid w:val="00FD606B"/>
    <w:rsid w:val="03B10EED"/>
    <w:rsid w:val="05A03C14"/>
    <w:rsid w:val="12F23441"/>
    <w:rsid w:val="143C61A2"/>
    <w:rsid w:val="14446A5C"/>
    <w:rsid w:val="15A94D8E"/>
    <w:rsid w:val="1823658C"/>
    <w:rsid w:val="1952025E"/>
    <w:rsid w:val="1C7A435B"/>
    <w:rsid w:val="1DD511E1"/>
    <w:rsid w:val="204E14C6"/>
    <w:rsid w:val="270819A1"/>
    <w:rsid w:val="2B606AAE"/>
    <w:rsid w:val="2CB657F7"/>
    <w:rsid w:val="2CE02DE0"/>
    <w:rsid w:val="2DA57465"/>
    <w:rsid w:val="358D470A"/>
    <w:rsid w:val="35DF515F"/>
    <w:rsid w:val="38C805E8"/>
    <w:rsid w:val="3AC04666"/>
    <w:rsid w:val="3F42543F"/>
    <w:rsid w:val="3F5B36DA"/>
    <w:rsid w:val="41046C1C"/>
    <w:rsid w:val="410B0EFD"/>
    <w:rsid w:val="43E061D8"/>
    <w:rsid w:val="44397AB2"/>
    <w:rsid w:val="48896EB0"/>
    <w:rsid w:val="4BEB527E"/>
    <w:rsid w:val="4CF6409A"/>
    <w:rsid w:val="525F427E"/>
    <w:rsid w:val="57CF0FEF"/>
    <w:rsid w:val="58093C8D"/>
    <w:rsid w:val="5E2D6A24"/>
    <w:rsid w:val="5F1E523D"/>
    <w:rsid w:val="62CE491B"/>
    <w:rsid w:val="63352876"/>
    <w:rsid w:val="66041F08"/>
    <w:rsid w:val="69714343"/>
    <w:rsid w:val="701069A6"/>
    <w:rsid w:val="708B1691"/>
    <w:rsid w:val="755D7DF6"/>
    <w:rsid w:val="77AF42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仿宋" w:cstheme="minorBidi"/>
      <w:kern w:val="2"/>
      <w:sz w:val="24"/>
      <w:szCs w:val="22"/>
      <w:lang w:val="en-US" w:eastAsia="zh-CN" w:bidi="ar-SA"/>
    </w:rPr>
  </w:style>
  <w:style w:type="paragraph" w:styleId="2">
    <w:name w:val="heading 1"/>
    <w:basedOn w:val="1"/>
    <w:next w:val="1"/>
    <w:qFormat/>
    <w:uiPriority w:val="1"/>
    <w:pPr>
      <w:ind w:left="880"/>
      <w:outlineLvl w:val="0"/>
    </w:pPr>
    <w:rPr>
      <w:b/>
      <w:bCs/>
      <w:sz w:val="30"/>
      <w:szCs w:val="30"/>
    </w:rPr>
  </w:style>
  <w:style w:type="paragraph" w:styleId="3">
    <w:name w:val="heading 2"/>
    <w:basedOn w:val="1"/>
    <w:next w:val="1"/>
    <w:unhideWhenUsed/>
    <w:qFormat/>
    <w:uiPriority w:val="9"/>
    <w:pPr>
      <w:keepNext/>
      <w:keepLines/>
      <w:spacing w:line="240" w:lineRule="auto"/>
      <w:outlineLvl w:val="1"/>
    </w:pPr>
    <w:rPr>
      <w:rFonts w:eastAsia="仿宋_GB2312" w:cstheme="majorBidi"/>
      <w:b/>
      <w:bCs/>
      <w:sz w:val="28"/>
      <w:szCs w:val="32"/>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4">
    <w:name w:val="Body Text"/>
    <w:basedOn w:val="1"/>
    <w:link w:val="13"/>
    <w:qFormat/>
    <w:uiPriority w:val="1"/>
    <w:pPr>
      <w:autoSpaceDE w:val="0"/>
      <w:autoSpaceDN w:val="0"/>
      <w:adjustRightInd w:val="0"/>
      <w:spacing w:before="61" w:line="240" w:lineRule="auto"/>
      <w:ind w:left="120" w:firstLine="0" w:firstLineChars="0"/>
      <w:jc w:val="left"/>
    </w:pPr>
    <w:rPr>
      <w:rFonts w:ascii="仿宋_GB2312" w:eastAsia="仿宋_GB2312" w:cs="仿宋_GB2312"/>
      <w:kern w:val="0"/>
      <w:sz w:val="28"/>
      <w:szCs w:val="28"/>
    </w:rPr>
  </w:style>
  <w:style w:type="paragraph" w:styleId="5">
    <w:name w:val="footer"/>
    <w:basedOn w:val="1"/>
    <w:unhideWhenUsed/>
    <w:qFormat/>
    <w:uiPriority w:val="99"/>
    <w:pPr>
      <w:tabs>
        <w:tab w:val="center" w:pos="4153"/>
        <w:tab w:val="right" w:pos="8306"/>
      </w:tabs>
      <w:snapToGrid w:val="0"/>
      <w:spacing w:line="240" w:lineRule="auto"/>
      <w:ind w:firstLine="0" w:firstLineChars="0"/>
      <w:jc w:val="left"/>
    </w:pPr>
    <w:rPr>
      <w:rFonts w:asciiTheme="minorHAnsi" w:hAnsiTheme="minorHAnsi" w:eastAsiaTheme="minorEastAsia"/>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spacing w:line="240" w:lineRule="auto"/>
      <w:ind w:firstLine="0" w:firstLineChars="0"/>
      <w:jc w:val="center"/>
    </w:pPr>
    <w:rPr>
      <w:rFonts w:asciiTheme="minorHAnsi" w:hAnsiTheme="minorHAnsi" w:eastAsiaTheme="minorEastAsia"/>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Body text|1"/>
    <w:basedOn w:val="1"/>
    <w:qFormat/>
    <w:uiPriority w:val="0"/>
    <w:pPr>
      <w:spacing w:line="391" w:lineRule="auto"/>
      <w:ind w:firstLine="400"/>
    </w:pPr>
    <w:rPr>
      <w:rFonts w:ascii="宋体" w:hAnsi="宋体" w:eastAsia="宋体" w:cs="宋体"/>
      <w:sz w:val="30"/>
      <w:szCs w:val="30"/>
      <w:lang w:val="zh-TW" w:eastAsia="zh-TW" w:bidi="zh-TW"/>
    </w:rPr>
  </w:style>
  <w:style w:type="paragraph" w:styleId="11">
    <w:name w:val="List Paragraph"/>
    <w:basedOn w:val="1"/>
    <w:qFormat/>
    <w:uiPriority w:val="34"/>
    <w:pPr>
      <w:spacing w:line="240" w:lineRule="auto"/>
      <w:ind w:firstLine="420"/>
    </w:pPr>
    <w:rPr>
      <w:rFonts w:asciiTheme="minorHAnsi" w:hAnsiTheme="minorHAnsi" w:eastAsiaTheme="minorEastAsia"/>
      <w:sz w:val="21"/>
    </w:rPr>
  </w:style>
  <w:style w:type="table" w:customStyle="1" w:styleId="12">
    <w:name w:val="Table Normal"/>
    <w:semiHidden/>
    <w:unhideWhenUsed/>
    <w:qFormat/>
    <w:uiPriority w:val="2"/>
    <w:tblPr>
      <w:tblCellMar>
        <w:top w:w="0" w:type="dxa"/>
        <w:left w:w="0" w:type="dxa"/>
        <w:bottom w:w="0" w:type="dxa"/>
        <w:right w:w="0" w:type="dxa"/>
      </w:tblCellMar>
    </w:tblPr>
  </w:style>
  <w:style w:type="character" w:customStyle="1" w:styleId="13">
    <w:name w:val="正文文本 字符"/>
    <w:basedOn w:val="9"/>
    <w:link w:val="4"/>
    <w:uiPriority w:val="1"/>
    <w:rPr>
      <w:rFonts w:ascii="仿宋_GB2312" w:hAnsi="Times New Roman" w:eastAsia="仿宋_GB2312" w:cs="仿宋_GB2312"/>
      <w:sz w:val="28"/>
      <w:szCs w:val="28"/>
    </w:rPr>
  </w:style>
  <w:style w:type="paragraph" w:customStyle="1" w:styleId="14">
    <w:name w:val="Table Paragraph"/>
    <w:basedOn w:val="1"/>
    <w:qFormat/>
    <w:uiPriority w:val="1"/>
    <w:pPr>
      <w:autoSpaceDE w:val="0"/>
      <w:autoSpaceDN w:val="0"/>
      <w:adjustRightInd w:val="0"/>
      <w:spacing w:line="240" w:lineRule="auto"/>
      <w:ind w:firstLine="0" w:firstLineChars="0"/>
      <w:jc w:val="left"/>
    </w:pPr>
    <w:rPr>
      <w:rFonts w:cs="Times New Roman" w:eastAsiaTheme="minorEastAsia"/>
      <w:kern w:val="0"/>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1.emf"/><Relationship Id="rId12" Type="http://schemas.openxmlformats.org/officeDocument/2006/relationships/package" Target="embeddings/Microsoft_Visio___1.vsdx"/><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32</Pages>
  <Words>15506</Words>
  <Characters>18235</Characters>
  <Lines>140</Lines>
  <Paragraphs>39</Paragraphs>
  <TotalTime>1931</TotalTime>
  <ScaleCrop>false</ScaleCrop>
  <LinksUpToDate>false</LinksUpToDate>
  <CharactersWithSpaces>18431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2022-09-16T00:59:00Z</dcterms:created>
  <dc:creator>Administrator</dc:creator>
  <cp:lastModifiedBy>Administrator</cp:lastModifiedBy>
  <dcterms:modified xsi:type="dcterms:W3CDTF">2022-09-24T06:22:17Z</dcterms:modified>
  <cp:revision>178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E5AEC0037A5648B8B3576AB195CDEC72</vt:lpwstr>
  </property>
</Properties>
</file>